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D0AF" w14:textId="77777777" w:rsidR="00F53987" w:rsidRDefault="00F53987" w:rsidP="00F53987">
      <w:pPr>
        <w:spacing w:line="480" w:lineRule="exact"/>
        <w:ind w:firstLine="400"/>
        <w:rPr>
          <w:rFonts w:ascii="Times New Roman" w:eastAsia="Times New Roman" w:hAnsi="Times New Roman" w:cs="Times New Roman"/>
          <w:sz w:val="20"/>
          <w:szCs w:val="20"/>
        </w:rPr>
      </w:pPr>
    </w:p>
    <w:p w14:paraId="261DBE2A" w14:textId="77777777" w:rsidR="00F53987" w:rsidRPr="00885EBE" w:rsidRDefault="00F53987" w:rsidP="00F53987">
      <w:pPr>
        <w:spacing w:line="480" w:lineRule="exact"/>
        <w:ind w:firstLine="400"/>
        <w:rPr>
          <w:rFonts w:ascii="Times New Roman" w:eastAsia="Times New Roman" w:hAnsi="Times New Roman" w:cs="Times New Roman"/>
          <w:sz w:val="20"/>
          <w:szCs w:val="20"/>
        </w:rPr>
      </w:pPr>
    </w:p>
    <w:p w14:paraId="5E151D02" w14:textId="77777777" w:rsidR="00F53987" w:rsidRPr="00885EBE" w:rsidRDefault="00F53987" w:rsidP="00F53987">
      <w:pPr>
        <w:spacing w:line="480" w:lineRule="exact"/>
        <w:ind w:firstLine="400"/>
        <w:rPr>
          <w:rFonts w:ascii="Times New Roman" w:eastAsia="Times New Roman" w:hAnsi="Times New Roman" w:cs="Times New Roman"/>
          <w:sz w:val="20"/>
          <w:szCs w:val="20"/>
        </w:rPr>
      </w:pPr>
    </w:p>
    <w:p w14:paraId="6B06C811" w14:textId="77777777" w:rsidR="00F53987" w:rsidRPr="00885EBE" w:rsidRDefault="00F53987" w:rsidP="00F53987">
      <w:pPr>
        <w:spacing w:line="480" w:lineRule="exact"/>
        <w:ind w:firstLine="400"/>
        <w:rPr>
          <w:rFonts w:ascii="Times New Roman" w:eastAsia="Times New Roman" w:hAnsi="Times New Roman" w:cs="Times New Roman"/>
          <w:sz w:val="20"/>
          <w:szCs w:val="20"/>
        </w:rPr>
      </w:pPr>
    </w:p>
    <w:p w14:paraId="7E36150E" w14:textId="77777777" w:rsidR="00F53987" w:rsidRPr="00885EBE" w:rsidRDefault="00F53987" w:rsidP="00F53987">
      <w:pPr>
        <w:spacing w:line="480" w:lineRule="exact"/>
        <w:ind w:firstLine="400"/>
        <w:rPr>
          <w:rFonts w:ascii="Times New Roman" w:eastAsia="宋体" w:hAnsi="Times New Roman" w:cs="Times New Roman"/>
          <w:sz w:val="20"/>
          <w:szCs w:val="20"/>
          <w:lang w:eastAsia="zh-CN"/>
        </w:rPr>
      </w:pPr>
    </w:p>
    <w:p w14:paraId="7BD2B50A" w14:textId="77777777" w:rsidR="00F53987" w:rsidRPr="00885EBE" w:rsidRDefault="00F53987" w:rsidP="00F53987">
      <w:pPr>
        <w:spacing w:line="480" w:lineRule="exact"/>
        <w:ind w:firstLine="400"/>
        <w:rPr>
          <w:rFonts w:ascii="Times New Roman" w:eastAsia="宋体" w:hAnsi="Times New Roman" w:cs="Times New Roman"/>
          <w:sz w:val="20"/>
          <w:szCs w:val="20"/>
          <w:lang w:eastAsia="zh-CN"/>
        </w:rPr>
      </w:pPr>
    </w:p>
    <w:p w14:paraId="5D7843AE" w14:textId="77777777" w:rsidR="00F53987" w:rsidRPr="00885EBE" w:rsidRDefault="00F53987" w:rsidP="00F53987">
      <w:pPr>
        <w:spacing w:line="480" w:lineRule="exact"/>
        <w:ind w:firstLine="400"/>
        <w:rPr>
          <w:rFonts w:ascii="Times New Roman" w:eastAsia="宋体" w:hAnsi="Times New Roman" w:cs="Times New Roman"/>
          <w:sz w:val="20"/>
          <w:szCs w:val="20"/>
          <w:lang w:eastAsia="zh-CN"/>
        </w:rPr>
      </w:pPr>
    </w:p>
    <w:p w14:paraId="69C95E93" w14:textId="77777777" w:rsidR="00F53987" w:rsidRPr="00885EBE" w:rsidRDefault="00F53987" w:rsidP="00F53987">
      <w:pPr>
        <w:widowControl w:val="0"/>
        <w:snapToGrid w:val="0"/>
        <w:spacing w:afterLines="50" w:after="120" w:line="240" w:lineRule="auto"/>
        <w:ind w:firstLineChars="0" w:firstLine="0"/>
        <w:contextualSpacing/>
        <w:jc w:val="center"/>
        <w:rPr>
          <w:rFonts w:ascii="方正小标宋简体" w:eastAsia="方正小标宋简体" w:hAnsi="华文中宋" w:cs="华文中宋" w:hint="eastAsia"/>
          <w:color w:val="000000"/>
          <w:kern w:val="2"/>
          <w:sz w:val="44"/>
          <w:szCs w:val="44"/>
          <w:lang w:eastAsia="zh-CN"/>
        </w:rPr>
      </w:pPr>
      <w:r w:rsidRPr="00885EBE">
        <w:rPr>
          <w:rFonts w:ascii="方正小标宋简体" w:eastAsia="方正小标宋简体" w:hAnsi="华文中宋" w:cs="华文中宋"/>
          <w:color w:val="000000"/>
          <w:kern w:val="2"/>
          <w:sz w:val="44"/>
          <w:szCs w:val="44"/>
          <w:lang w:eastAsia="zh-CN"/>
        </w:rPr>
        <w:t>河南省律师协会税收法律专业委员会</w:t>
      </w:r>
    </w:p>
    <w:p w14:paraId="6D3E0A9C" w14:textId="77777777" w:rsidR="00F53987" w:rsidRPr="00885EBE" w:rsidRDefault="00F53987" w:rsidP="00F53987">
      <w:pPr>
        <w:widowControl w:val="0"/>
        <w:snapToGrid w:val="0"/>
        <w:spacing w:afterLines="50" w:after="120" w:line="240" w:lineRule="auto"/>
        <w:ind w:firstLineChars="0" w:firstLine="0"/>
        <w:contextualSpacing/>
        <w:jc w:val="center"/>
        <w:rPr>
          <w:rFonts w:ascii="方正小标宋简体" w:eastAsia="方正小标宋简体" w:hAnsi="华文中宋" w:cs="华文中宋" w:hint="eastAsia"/>
          <w:color w:val="000000"/>
          <w:kern w:val="2"/>
          <w:sz w:val="44"/>
          <w:szCs w:val="44"/>
          <w:lang w:eastAsia="zh-CN"/>
        </w:rPr>
      </w:pPr>
      <w:r w:rsidRPr="00885EBE">
        <w:rPr>
          <w:rFonts w:ascii="方正小标宋简体" w:eastAsia="方正小标宋简体" w:hAnsi="华文中宋" w:cs="华文中宋"/>
          <w:color w:val="000000"/>
          <w:kern w:val="2"/>
          <w:sz w:val="44"/>
          <w:szCs w:val="44"/>
          <w:lang w:eastAsia="zh-CN"/>
        </w:rPr>
        <w:t>税 法 速 递</w:t>
      </w:r>
    </w:p>
    <w:p w14:paraId="002A0161" w14:textId="77777777" w:rsidR="00F53987" w:rsidRPr="00885EBE" w:rsidRDefault="00F53987" w:rsidP="00F53987">
      <w:pPr>
        <w:spacing w:afterLines="50" w:after="120" w:line="240" w:lineRule="auto"/>
        <w:ind w:firstLine="840"/>
        <w:jc w:val="center"/>
        <w:rPr>
          <w:rFonts w:ascii="微软雅黑" w:eastAsia="微软雅黑" w:hAnsi="微软雅黑" w:cs="微软雅黑" w:hint="eastAsia"/>
          <w:sz w:val="42"/>
          <w:szCs w:val="42"/>
          <w:lang w:eastAsia="zh-CN"/>
        </w:rPr>
      </w:pPr>
    </w:p>
    <w:p w14:paraId="66839FB5"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6292C8CE"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342E7E33"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76AC2B90"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461026A1"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74A6B6F1"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3AC52E31"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3989E458"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7A09D5F0"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66614D73" w14:textId="77777777" w:rsidR="00F53987" w:rsidRPr="00885EBE" w:rsidRDefault="00F53987" w:rsidP="00F53987">
      <w:pPr>
        <w:spacing w:line="480" w:lineRule="exact"/>
        <w:ind w:firstLine="840"/>
        <w:rPr>
          <w:rFonts w:ascii="微软雅黑" w:eastAsia="微软雅黑" w:hAnsi="微软雅黑" w:cs="微软雅黑" w:hint="eastAsia"/>
          <w:sz w:val="42"/>
          <w:szCs w:val="42"/>
          <w:lang w:eastAsia="zh-CN"/>
        </w:rPr>
      </w:pPr>
    </w:p>
    <w:p w14:paraId="3DE518F5" w14:textId="77777777" w:rsidR="00F53987" w:rsidRPr="00885EBE" w:rsidRDefault="00F53987" w:rsidP="00F53987">
      <w:pPr>
        <w:spacing w:line="480" w:lineRule="exact"/>
        <w:ind w:firstLine="680"/>
        <w:rPr>
          <w:rFonts w:ascii="微软雅黑" w:eastAsia="微软雅黑" w:hAnsi="微软雅黑" w:cs="微软雅黑" w:hint="eastAsia"/>
          <w:sz w:val="34"/>
          <w:szCs w:val="34"/>
          <w:lang w:eastAsia="zh-CN"/>
        </w:rPr>
      </w:pPr>
    </w:p>
    <w:p w14:paraId="18FB433A" w14:textId="77777777" w:rsidR="00F53987" w:rsidRPr="00885EBE" w:rsidRDefault="00F53987" w:rsidP="00F53987">
      <w:pPr>
        <w:spacing w:line="480" w:lineRule="exact"/>
        <w:ind w:firstLine="680"/>
        <w:rPr>
          <w:rFonts w:ascii="微软雅黑" w:eastAsia="微软雅黑" w:hAnsi="微软雅黑" w:cs="微软雅黑" w:hint="eastAsia"/>
          <w:sz w:val="34"/>
          <w:szCs w:val="34"/>
          <w:lang w:eastAsia="zh-CN"/>
        </w:rPr>
      </w:pPr>
    </w:p>
    <w:p w14:paraId="7A4EC1D6" w14:textId="77777777" w:rsidR="00F53987" w:rsidRPr="00885EBE" w:rsidRDefault="00F53987" w:rsidP="00F53987">
      <w:pPr>
        <w:spacing w:line="480" w:lineRule="exact"/>
        <w:ind w:firstLine="680"/>
        <w:rPr>
          <w:rFonts w:ascii="微软雅黑" w:eastAsia="微软雅黑" w:hAnsi="微软雅黑" w:cs="微软雅黑" w:hint="eastAsia"/>
          <w:sz w:val="34"/>
          <w:szCs w:val="34"/>
          <w:lang w:eastAsia="zh-CN"/>
        </w:rPr>
      </w:pPr>
    </w:p>
    <w:p w14:paraId="3A6F30AB" w14:textId="77777777" w:rsidR="00F53987" w:rsidRPr="00885EBE" w:rsidRDefault="00F53987" w:rsidP="00F53987">
      <w:pPr>
        <w:spacing w:line="480" w:lineRule="exact"/>
        <w:ind w:right="380" w:firstLineChars="46" w:firstLine="166"/>
        <w:jc w:val="center"/>
        <w:rPr>
          <w:rFonts w:ascii="华文中宋" w:eastAsia="华文中宋" w:hAnsi="华文中宋" w:cs="微软雅黑" w:hint="eastAsia"/>
          <w:sz w:val="36"/>
          <w:szCs w:val="36"/>
          <w:lang w:eastAsia="zh-CN"/>
        </w:rPr>
      </w:pPr>
    </w:p>
    <w:p w14:paraId="56AAE8C3" w14:textId="080D69BF" w:rsidR="00F53987" w:rsidRPr="00885EBE" w:rsidRDefault="00F53987" w:rsidP="00F53987">
      <w:pPr>
        <w:widowControl w:val="0"/>
        <w:tabs>
          <w:tab w:val="right" w:leader="dot" w:pos="8306"/>
        </w:tabs>
        <w:spacing w:line="480" w:lineRule="exact"/>
        <w:ind w:leftChars="-1" w:left="-1" w:firstLineChars="0" w:hanging="2"/>
        <w:jc w:val="center"/>
        <w:rPr>
          <w:rFonts w:ascii="Times New Roman" w:eastAsia="楷体" w:hAnsi="Times New Roman" w:cs="Times New Roman"/>
          <w:color w:val="000000"/>
          <w:kern w:val="2"/>
          <w:sz w:val="32"/>
          <w:szCs w:val="32"/>
          <w:lang w:eastAsia="zh-CN"/>
        </w:rPr>
      </w:pPr>
      <w:r w:rsidRPr="00885EBE">
        <w:rPr>
          <w:rFonts w:ascii="Times New Roman" w:eastAsia="楷体" w:hAnsi="Times New Roman" w:cs="Times New Roman"/>
          <w:color w:val="000000"/>
          <w:kern w:val="2"/>
          <w:sz w:val="32"/>
          <w:szCs w:val="32"/>
          <w:lang w:eastAsia="zh-CN"/>
        </w:rPr>
        <w:t>2026</w:t>
      </w:r>
      <w:r w:rsidRPr="00885EBE">
        <w:rPr>
          <w:rFonts w:ascii="Times New Roman" w:eastAsia="楷体" w:hAnsi="Times New Roman" w:cs="Times New Roman"/>
          <w:color w:val="000000"/>
          <w:kern w:val="2"/>
          <w:sz w:val="32"/>
          <w:szCs w:val="32"/>
          <w:lang w:eastAsia="zh-CN"/>
        </w:rPr>
        <w:t>年</w:t>
      </w:r>
      <w:r>
        <w:rPr>
          <w:rFonts w:ascii="Times New Roman" w:eastAsia="楷体" w:hAnsi="Times New Roman" w:cs="Times New Roman" w:hint="eastAsia"/>
          <w:color w:val="000000"/>
          <w:kern w:val="2"/>
          <w:sz w:val="32"/>
          <w:szCs w:val="32"/>
          <w:lang w:eastAsia="zh-CN"/>
        </w:rPr>
        <w:t>9</w:t>
      </w:r>
      <w:r w:rsidRPr="00885EBE">
        <w:rPr>
          <w:rFonts w:ascii="Times New Roman" w:eastAsia="楷体" w:hAnsi="Times New Roman" w:cs="Times New Roman"/>
          <w:color w:val="000000"/>
          <w:kern w:val="2"/>
          <w:sz w:val="32"/>
          <w:szCs w:val="32"/>
          <w:lang w:eastAsia="zh-CN"/>
        </w:rPr>
        <w:t>月</w:t>
      </w:r>
    </w:p>
    <w:p w14:paraId="1BEC8F0B" w14:textId="77777777" w:rsidR="007F77F7" w:rsidRDefault="007F77F7">
      <w:pPr>
        <w:pStyle w:val="TOC2"/>
        <w:widowControl w:val="0"/>
        <w:tabs>
          <w:tab w:val="right" w:leader="dot" w:pos="8306"/>
        </w:tabs>
        <w:spacing w:line="480" w:lineRule="exact"/>
        <w:ind w:leftChars="200" w:left="560" w:firstLineChars="0" w:firstLine="0"/>
        <w:jc w:val="center"/>
        <w:rPr>
          <w:rFonts w:ascii="华文中宋" w:eastAsia="华文中宋" w:hAnsi="华文中宋" w:cs="华文中宋" w:hint="eastAsia"/>
          <w:b/>
          <w:bCs/>
          <w:smallCaps w:val="0"/>
          <w:color w:val="000000"/>
          <w:kern w:val="2"/>
          <w:sz w:val="36"/>
          <w:szCs w:val="36"/>
          <w:lang w:eastAsia="zh-CN"/>
        </w:rPr>
        <w:sectPr w:rsidR="007F77F7">
          <w:headerReference w:type="even" r:id="rId7"/>
          <w:headerReference w:type="default" r:id="rId8"/>
          <w:footerReference w:type="even" r:id="rId9"/>
          <w:footerReference w:type="default" r:id="rId10"/>
          <w:headerReference w:type="first" r:id="rId11"/>
          <w:footerReference w:type="first" r:id="rId12"/>
          <w:type w:val="continuous"/>
          <w:pgSz w:w="11910" w:h="16840"/>
          <w:pgMar w:top="1380" w:right="1680" w:bottom="280" w:left="1680" w:header="947" w:footer="720" w:gutter="0"/>
          <w:cols w:space="720"/>
        </w:sectPr>
      </w:pPr>
    </w:p>
    <w:p w14:paraId="5D384DF8" w14:textId="77777777" w:rsidR="007F77F7" w:rsidRDefault="00000000">
      <w:pPr>
        <w:pStyle w:val="TOC2"/>
        <w:tabs>
          <w:tab w:val="right" w:leader="dot" w:pos="8630"/>
        </w:tabs>
        <w:adjustRightInd w:val="0"/>
        <w:snapToGrid w:val="0"/>
        <w:spacing w:beforeLines="100" w:before="240" w:afterLines="100" w:after="240"/>
        <w:ind w:left="278" w:firstLine="960"/>
        <w:jc w:val="center"/>
        <w:rPr>
          <w:rFonts w:ascii="华文中宋" w:eastAsia="华文中宋" w:hAnsi="华文中宋" w:cs="华文中宋" w:hint="eastAsia"/>
          <w:sz w:val="36"/>
          <w:szCs w:val="36"/>
          <w:lang w:eastAsia="zh-CN"/>
        </w:rPr>
      </w:pPr>
      <w:bookmarkStart w:id="0" w:name="_Toc1697"/>
      <w:bookmarkStart w:id="1" w:name="_Toc21950"/>
      <w:r>
        <w:rPr>
          <w:rFonts w:ascii="黑体" w:eastAsia="黑体" w:hAnsi="黑体" w:cs="黑体" w:hint="eastAsia"/>
          <w:bCs/>
          <w:smallCaps w:val="0"/>
          <w:color w:val="000000"/>
          <w:kern w:val="2"/>
          <w:sz w:val="48"/>
          <w:szCs w:val="48"/>
          <w:lang w:eastAsia="zh-CN"/>
        </w:rPr>
        <w:lastRenderedPageBreak/>
        <w:t>目  录</w:t>
      </w:r>
      <w:bookmarkEnd w:id="0"/>
      <w:bookmarkEnd w:id="1"/>
    </w:p>
    <w:sdt>
      <w:sdtPr>
        <w:rPr>
          <w:rFonts w:ascii="宋体" w:eastAsia="宋体" w:hAnsi="宋体"/>
          <w:bCs/>
          <w:sz w:val="21"/>
        </w:rPr>
        <w:id w:val="147462772"/>
        <w15:color w:val="DBDBDB"/>
        <w:docPartObj>
          <w:docPartGallery w:val="Table of Contents"/>
          <w:docPartUnique/>
        </w:docPartObj>
      </w:sdtPr>
      <w:sdtEndPr>
        <w:rPr>
          <w:rFonts w:cs="宋体" w:hint="eastAsia"/>
          <w:sz w:val="24"/>
          <w:szCs w:val="24"/>
          <w:lang w:eastAsia="zh-CN"/>
        </w:rPr>
      </w:sdtEndPr>
      <w:sdtContent>
        <w:p w14:paraId="54140D0B" w14:textId="77777777" w:rsidR="007F77F7" w:rsidRDefault="007F77F7">
          <w:pPr>
            <w:spacing w:line="240" w:lineRule="auto"/>
            <w:ind w:firstLineChars="0" w:firstLine="0"/>
            <w:jc w:val="center"/>
          </w:pPr>
        </w:p>
        <w:p w14:paraId="204532B1" w14:textId="77777777" w:rsidR="007F77F7" w:rsidRDefault="00000000">
          <w:pPr>
            <w:pStyle w:val="TOC1"/>
            <w:tabs>
              <w:tab w:val="right" w:leader="middleDot" w:pos="9750"/>
            </w:tabs>
            <w:spacing w:line="480" w:lineRule="auto"/>
            <w:ind w:firstLine="482"/>
            <w:rPr>
              <w:rFonts w:ascii="仿宋" w:hAnsi="仿宋" w:cs="仿宋" w:hint="eastAsia"/>
              <w:sz w:val="28"/>
              <w:szCs w:val="28"/>
            </w:rPr>
          </w:pPr>
          <w:r>
            <w:rPr>
              <w:rFonts w:ascii="宋体" w:eastAsia="宋体" w:hAnsi="宋体" w:cs="宋体" w:hint="eastAsia"/>
              <w:sz w:val="24"/>
              <w:szCs w:val="24"/>
              <w:lang w:eastAsia="zh-CN"/>
            </w:rPr>
            <w:fldChar w:fldCharType="begin"/>
          </w:r>
          <w:r>
            <w:rPr>
              <w:rFonts w:ascii="宋体" w:eastAsia="宋体" w:hAnsi="宋体" w:cs="宋体" w:hint="eastAsia"/>
              <w:sz w:val="24"/>
              <w:szCs w:val="24"/>
              <w:lang w:eastAsia="zh-CN"/>
            </w:rPr>
            <w:instrText xml:space="preserve">TOC \o "1-2" \h \u </w:instrText>
          </w:r>
          <w:r>
            <w:rPr>
              <w:rFonts w:ascii="宋体" w:eastAsia="宋体" w:hAnsi="宋体" w:cs="宋体" w:hint="eastAsia"/>
              <w:sz w:val="24"/>
              <w:szCs w:val="24"/>
              <w:lang w:eastAsia="zh-CN"/>
            </w:rPr>
            <w:fldChar w:fldCharType="separate"/>
          </w:r>
          <w:hyperlink w:anchor="_Toc24477" w:history="1">
            <w:r>
              <w:rPr>
                <w:rFonts w:ascii="仿宋" w:hAnsi="仿宋" w:cs="仿宋" w:hint="eastAsia"/>
                <w:sz w:val="28"/>
                <w:szCs w:val="28"/>
                <w:lang w:eastAsia="zh-CN"/>
              </w:rPr>
              <w:t>一、编写律师简介</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_Toc24477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w:t>
            </w:r>
            <w:r>
              <w:rPr>
                <w:rFonts w:ascii="仿宋" w:hAnsi="仿宋" w:cs="仿宋" w:hint="eastAsia"/>
                <w:sz w:val="28"/>
                <w:szCs w:val="28"/>
              </w:rPr>
              <w:fldChar w:fldCharType="end"/>
            </w:r>
          </w:hyperlink>
        </w:p>
        <w:p w14:paraId="19B68605" w14:textId="77777777" w:rsidR="007F77F7" w:rsidRDefault="00000000">
          <w:pPr>
            <w:pStyle w:val="TOC1"/>
            <w:tabs>
              <w:tab w:val="right" w:leader="middleDot" w:pos="9750"/>
            </w:tabs>
            <w:spacing w:line="480" w:lineRule="auto"/>
            <w:ind w:firstLine="562"/>
            <w:rPr>
              <w:rFonts w:ascii="仿宋" w:hAnsi="仿宋" w:cs="仿宋" w:hint="eastAsia"/>
              <w:sz w:val="28"/>
              <w:szCs w:val="28"/>
            </w:rPr>
          </w:pPr>
          <w:hyperlink w:anchor="_Toc24349" w:history="1">
            <w:r>
              <w:rPr>
                <w:rFonts w:ascii="仿宋" w:hAnsi="仿宋" w:cs="仿宋" w:hint="eastAsia"/>
                <w:sz w:val="28"/>
                <w:szCs w:val="28"/>
                <w:lang w:eastAsia="zh-CN"/>
              </w:rPr>
              <w:t>二、要闻播报</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_Toc24349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w:t>
            </w:r>
            <w:r>
              <w:rPr>
                <w:rFonts w:ascii="仿宋" w:hAnsi="仿宋" w:cs="仿宋" w:hint="eastAsia"/>
                <w:sz w:val="28"/>
                <w:szCs w:val="28"/>
              </w:rPr>
              <w:fldChar w:fldCharType="end"/>
            </w:r>
          </w:hyperlink>
        </w:p>
        <w:p w14:paraId="0A403FDE"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（一）前八个月税收收入稳中有升 与经济增长基本同步</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1</w:t>
            </w:r>
            <w:r>
              <w:rPr>
                <w:rFonts w:ascii="仿宋" w:hAnsi="仿宋" w:cs="仿宋" w:hint="eastAsia"/>
                <w:b w:val="0"/>
                <w:bCs w:val="0"/>
                <w:sz w:val="28"/>
                <w:szCs w:val="28"/>
              </w:rPr>
              <w:fldChar w:fldCharType="end"/>
            </w:r>
          </w:hyperlink>
        </w:p>
        <w:p w14:paraId="5DDED727"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（二）发票数据显示前8个月全国企业销售收入呈现四个亮点</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3</w:t>
            </w:r>
            <w:r>
              <w:rPr>
                <w:rFonts w:ascii="仿宋" w:hAnsi="仿宋" w:cs="仿宋" w:hint="eastAsia"/>
                <w:b w:val="0"/>
                <w:bCs w:val="0"/>
                <w:sz w:val="28"/>
                <w:szCs w:val="28"/>
              </w:rPr>
              <w:fldChar w:fldCharType="end"/>
            </w:r>
          </w:hyperlink>
        </w:p>
        <w:p w14:paraId="48F0D327"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（三）今年前8个月全国统一大市场建设稳步推进省际贸易销售额稳步增长</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4</w:t>
            </w:r>
            <w:r>
              <w:rPr>
                <w:rFonts w:ascii="仿宋" w:hAnsi="仿宋" w:cs="仿宋" w:hint="eastAsia"/>
                <w:b w:val="0"/>
                <w:bCs w:val="0"/>
                <w:sz w:val="28"/>
                <w:szCs w:val="28"/>
              </w:rPr>
              <w:fldChar w:fldCharType="end"/>
            </w:r>
          </w:hyperlink>
        </w:p>
        <w:p w14:paraId="59E14CCB" w14:textId="77777777" w:rsidR="007F77F7" w:rsidRDefault="00000000">
          <w:pPr>
            <w:pStyle w:val="TOC1"/>
            <w:tabs>
              <w:tab w:val="right" w:leader="middleDot" w:pos="9750"/>
            </w:tabs>
            <w:spacing w:line="480" w:lineRule="auto"/>
            <w:ind w:firstLine="560"/>
            <w:rPr>
              <w:rFonts w:ascii="仿宋" w:hAnsi="仿宋" w:cs="仿宋" w:hint="eastAsia"/>
              <w:sz w:val="28"/>
              <w:szCs w:val="28"/>
            </w:rPr>
          </w:pPr>
          <w:hyperlink w:anchor="_Toc24349" w:history="1">
            <w:r>
              <w:rPr>
                <w:rFonts w:ascii="仿宋" w:hAnsi="仿宋" w:cs="仿宋" w:hint="eastAsia"/>
                <w:b w:val="0"/>
                <w:bCs w:val="0"/>
                <w:sz w:val="28"/>
                <w:szCs w:val="28"/>
                <w:lang w:eastAsia="zh-CN"/>
              </w:rPr>
              <w:t>（四）上半年A股上市公司税法遵从水平持续提升超七成涉税公告系自查自纠补税</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6</w:t>
            </w:r>
            <w:r>
              <w:rPr>
                <w:rFonts w:ascii="仿宋" w:hAnsi="仿宋" w:cs="仿宋" w:hint="eastAsia"/>
                <w:b w:val="0"/>
                <w:bCs w:val="0"/>
                <w:sz w:val="28"/>
                <w:szCs w:val="28"/>
              </w:rPr>
              <w:fldChar w:fldCharType="end"/>
            </w:r>
          </w:hyperlink>
        </w:p>
        <w:p w14:paraId="334BE87B" w14:textId="77777777" w:rsidR="007F77F7" w:rsidRDefault="00000000">
          <w:pPr>
            <w:pStyle w:val="TOC1"/>
            <w:tabs>
              <w:tab w:val="right" w:leader="middleDot" w:pos="9750"/>
            </w:tabs>
            <w:spacing w:line="480" w:lineRule="auto"/>
            <w:ind w:firstLine="562"/>
            <w:rPr>
              <w:rFonts w:ascii="仿宋" w:hAnsi="仿宋" w:cs="仿宋" w:hint="eastAsia"/>
              <w:sz w:val="28"/>
              <w:szCs w:val="28"/>
            </w:rPr>
          </w:pPr>
          <w:hyperlink w:anchor="_Toc24349" w:history="1">
            <w:r>
              <w:rPr>
                <w:rFonts w:ascii="仿宋" w:hAnsi="仿宋" w:cs="仿宋" w:hint="eastAsia"/>
                <w:sz w:val="28"/>
                <w:szCs w:val="28"/>
                <w:lang w:eastAsia="zh-CN"/>
              </w:rPr>
              <w:t>三、新法概览</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_Toc24349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8</w:t>
            </w:r>
            <w:r>
              <w:rPr>
                <w:rFonts w:ascii="仿宋" w:hAnsi="仿宋" w:cs="仿宋" w:hint="eastAsia"/>
                <w:sz w:val="28"/>
                <w:szCs w:val="28"/>
              </w:rPr>
              <w:fldChar w:fldCharType="end"/>
            </w:r>
          </w:hyperlink>
        </w:p>
        <w:p w14:paraId="02227D45"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（一）财政部 税务总局关于外籍个人股息红利个人所得税政策有关事项的公告　财政部 税务总局公告2026年第27号</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8</w:t>
            </w:r>
            <w:r>
              <w:rPr>
                <w:rFonts w:ascii="仿宋" w:hAnsi="仿宋" w:cs="仿宋" w:hint="eastAsia"/>
                <w:b w:val="0"/>
                <w:bCs w:val="0"/>
                <w:sz w:val="28"/>
                <w:szCs w:val="28"/>
              </w:rPr>
              <w:fldChar w:fldCharType="end"/>
            </w:r>
          </w:hyperlink>
        </w:p>
        <w:p w14:paraId="002C7798"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（二）财政部 税务总局关于发布《境内单位代扣代缴自然人增值税管理办法》的公告　财政部 税务总局公告2026年第28号</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10</w:t>
            </w:r>
            <w:r>
              <w:rPr>
                <w:rFonts w:ascii="仿宋" w:hAnsi="仿宋" w:cs="仿宋" w:hint="eastAsia"/>
                <w:b w:val="0"/>
                <w:bCs w:val="0"/>
                <w:sz w:val="28"/>
                <w:szCs w:val="28"/>
              </w:rPr>
              <w:fldChar w:fldCharType="end"/>
            </w:r>
          </w:hyperlink>
        </w:p>
        <w:p w14:paraId="44F4A630"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（三）国家税务总局关于境内单位代扣代缴自然人增值税有关申报事项的公告　国家税务总局公告2026年第19号</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12</w:t>
            </w:r>
            <w:r>
              <w:rPr>
                <w:rFonts w:ascii="仿宋" w:hAnsi="仿宋" w:cs="仿宋" w:hint="eastAsia"/>
                <w:b w:val="0"/>
                <w:bCs w:val="0"/>
                <w:sz w:val="28"/>
                <w:szCs w:val="28"/>
              </w:rPr>
              <w:fldChar w:fldCharType="end"/>
            </w:r>
          </w:hyperlink>
        </w:p>
        <w:p w14:paraId="7898511A"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（四）国家税务总局就《税务行政复议规则（征求意见稿）》公开征求意见</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14</w:t>
            </w:r>
            <w:r>
              <w:rPr>
                <w:rFonts w:ascii="仿宋" w:hAnsi="仿宋" w:cs="仿宋" w:hint="eastAsia"/>
                <w:b w:val="0"/>
                <w:bCs w:val="0"/>
                <w:sz w:val="28"/>
                <w:szCs w:val="28"/>
              </w:rPr>
              <w:fldChar w:fldCharType="end"/>
            </w:r>
          </w:hyperlink>
        </w:p>
        <w:p w14:paraId="066C41F1" w14:textId="77777777" w:rsidR="007F77F7" w:rsidRDefault="00000000">
          <w:pPr>
            <w:pStyle w:val="TOC1"/>
            <w:tabs>
              <w:tab w:val="right" w:leader="middleDot" w:pos="9750"/>
            </w:tabs>
            <w:spacing w:line="480" w:lineRule="auto"/>
            <w:ind w:firstLine="562"/>
            <w:rPr>
              <w:rFonts w:ascii="仿宋" w:hAnsi="仿宋" w:cs="仿宋" w:hint="eastAsia"/>
              <w:sz w:val="28"/>
              <w:szCs w:val="28"/>
            </w:rPr>
          </w:pPr>
          <w:hyperlink w:anchor="_Toc24349" w:history="1">
            <w:r>
              <w:rPr>
                <w:rFonts w:ascii="仿宋" w:hAnsi="仿宋" w:cs="仿宋" w:hint="eastAsia"/>
                <w:sz w:val="28"/>
                <w:szCs w:val="28"/>
                <w:lang w:eastAsia="zh-CN"/>
              </w:rPr>
              <w:t>四、典型税案</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_Toc24349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16</w:t>
            </w:r>
            <w:r>
              <w:rPr>
                <w:rFonts w:ascii="仿宋" w:hAnsi="仿宋" w:cs="仿宋" w:hint="eastAsia"/>
                <w:sz w:val="28"/>
                <w:szCs w:val="28"/>
              </w:rPr>
              <w:fldChar w:fldCharType="end"/>
            </w:r>
          </w:hyperlink>
        </w:p>
        <w:p w14:paraId="022A78D2"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（一）私户归集油款造假象 寻根溯源破隐匿迷局——德保县德能加油站账外隐匿收入偷税被查处</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16</w:t>
            </w:r>
            <w:r>
              <w:rPr>
                <w:rFonts w:ascii="仿宋" w:hAnsi="仿宋" w:cs="仿宋" w:hint="eastAsia"/>
                <w:b w:val="0"/>
                <w:bCs w:val="0"/>
                <w:sz w:val="28"/>
                <w:szCs w:val="28"/>
              </w:rPr>
              <w:fldChar w:fldCharType="end"/>
            </w:r>
          </w:hyperlink>
        </w:p>
        <w:p w14:paraId="3269C198" w14:textId="77777777" w:rsidR="007F77F7" w:rsidRDefault="00000000">
          <w:pPr>
            <w:pStyle w:val="TOC1"/>
            <w:tabs>
              <w:tab w:val="right" w:leader="middleDot" w:pos="9750"/>
            </w:tabs>
            <w:spacing w:line="480" w:lineRule="auto"/>
            <w:ind w:firstLine="560"/>
            <w:rPr>
              <w:rFonts w:ascii="仿宋" w:hAnsi="仿宋" w:cs="仿宋" w:hint="eastAsia"/>
              <w:sz w:val="28"/>
              <w:szCs w:val="28"/>
            </w:rPr>
          </w:pPr>
          <w:hyperlink w:anchor="_Toc24349" w:history="1">
            <w:r>
              <w:rPr>
                <w:rFonts w:ascii="仿宋" w:hAnsi="仿宋" w:cs="仿宋" w:hint="eastAsia"/>
                <w:b w:val="0"/>
                <w:bCs w:val="0"/>
                <w:sz w:val="28"/>
                <w:szCs w:val="28"/>
                <w:lang w:eastAsia="zh-CN"/>
              </w:rPr>
              <w:t>（二）广西公布一批涉税违法犯罪典型案例</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19</w:t>
            </w:r>
            <w:r>
              <w:rPr>
                <w:rFonts w:ascii="仿宋" w:hAnsi="仿宋" w:cs="仿宋" w:hint="eastAsia"/>
                <w:b w:val="0"/>
                <w:bCs w:val="0"/>
                <w:sz w:val="28"/>
                <w:szCs w:val="28"/>
              </w:rPr>
              <w:fldChar w:fldCharType="end"/>
            </w:r>
          </w:hyperlink>
        </w:p>
        <w:p w14:paraId="1E34ABA1" w14:textId="77777777" w:rsidR="007F77F7" w:rsidRDefault="00000000">
          <w:pPr>
            <w:pStyle w:val="TOC1"/>
            <w:tabs>
              <w:tab w:val="right" w:leader="middleDot" w:pos="9750"/>
            </w:tabs>
            <w:spacing w:line="480" w:lineRule="auto"/>
            <w:ind w:firstLine="562"/>
            <w:rPr>
              <w:rFonts w:ascii="仿宋" w:hAnsi="仿宋" w:cs="仿宋" w:hint="eastAsia"/>
              <w:sz w:val="28"/>
              <w:szCs w:val="28"/>
            </w:rPr>
          </w:pPr>
          <w:hyperlink w:anchor="_Toc24349" w:history="1">
            <w:r>
              <w:rPr>
                <w:rFonts w:ascii="仿宋" w:hAnsi="仿宋" w:cs="仿宋" w:hint="eastAsia"/>
                <w:sz w:val="28"/>
                <w:szCs w:val="28"/>
                <w:lang w:eastAsia="zh-CN"/>
              </w:rPr>
              <w:t>五、税务合规探索</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_Toc24349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22</w:t>
            </w:r>
            <w:r>
              <w:rPr>
                <w:rFonts w:ascii="仿宋" w:hAnsi="仿宋" w:cs="仿宋" w:hint="eastAsia"/>
                <w:sz w:val="28"/>
                <w:szCs w:val="28"/>
              </w:rPr>
              <w:fldChar w:fldCharType="end"/>
            </w:r>
          </w:hyperlink>
        </w:p>
        <w:p w14:paraId="65A90DF0"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（一）长三角税务部门联合发布“交易即开票”试点企业税务合规典型案例</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22</w:t>
            </w:r>
            <w:r>
              <w:rPr>
                <w:rFonts w:ascii="仿宋" w:hAnsi="仿宋" w:cs="仿宋" w:hint="eastAsia"/>
                <w:b w:val="0"/>
                <w:bCs w:val="0"/>
                <w:sz w:val="28"/>
                <w:szCs w:val="28"/>
              </w:rPr>
              <w:fldChar w:fldCharType="end"/>
            </w:r>
          </w:hyperlink>
        </w:p>
        <w:p w14:paraId="218890D9" w14:textId="77777777" w:rsidR="007F77F7" w:rsidRDefault="00000000">
          <w:pPr>
            <w:pStyle w:val="TOC1"/>
            <w:tabs>
              <w:tab w:val="right" w:leader="middleDot" w:pos="9750"/>
            </w:tabs>
            <w:spacing w:line="480" w:lineRule="auto"/>
            <w:ind w:firstLine="560"/>
            <w:rPr>
              <w:rFonts w:ascii="仿宋" w:hAnsi="仿宋" w:cs="仿宋" w:hint="eastAsia"/>
              <w:b w:val="0"/>
              <w:bCs w:val="0"/>
              <w:sz w:val="28"/>
              <w:szCs w:val="28"/>
            </w:rPr>
          </w:pPr>
          <w:hyperlink w:anchor="_Toc24349" w:history="1">
            <w:r>
              <w:rPr>
                <w:rFonts w:ascii="仿宋" w:hAnsi="仿宋" w:cs="仿宋" w:hint="eastAsia"/>
                <w:b w:val="0"/>
                <w:bCs w:val="0"/>
                <w:sz w:val="28"/>
                <w:szCs w:val="28"/>
                <w:lang w:eastAsia="zh-CN"/>
              </w:rPr>
              <w:t>（二）贵州税务、文旅联合发布首批文旅行业税务合规典型案例</w:t>
            </w:r>
            <w:r>
              <w:rPr>
                <w:rFonts w:ascii="仿宋" w:hAnsi="仿宋" w:cs="仿宋" w:hint="eastAsia"/>
                <w:b w:val="0"/>
                <w:bCs w:val="0"/>
                <w:sz w:val="28"/>
                <w:szCs w:val="28"/>
              </w:rPr>
              <w:tab/>
            </w:r>
            <w:r>
              <w:rPr>
                <w:rFonts w:ascii="仿宋" w:hAnsi="仿宋" w:cs="仿宋" w:hint="eastAsia"/>
                <w:b w:val="0"/>
                <w:bCs w:val="0"/>
                <w:sz w:val="28"/>
                <w:szCs w:val="28"/>
              </w:rPr>
              <w:fldChar w:fldCharType="begin"/>
            </w:r>
            <w:r>
              <w:rPr>
                <w:rFonts w:ascii="仿宋" w:hAnsi="仿宋" w:cs="仿宋" w:hint="eastAsia"/>
                <w:b w:val="0"/>
                <w:bCs w:val="0"/>
                <w:sz w:val="28"/>
                <w:szCs w:val="28"/>
              </w:rPr>
              <w:instrText xml:space="preserve"> PAGEREF _Toc24349 \h </w:instrText>
            </w:r>
            <w:r>
              <w:rPr>
                <w:rFonts w:ascii="仿宋" w:hAnsi="仿宋" w:cs="仿宋" w:hint="eastAsia"/>
                <w:b w:val="0"/>
                <w:bCs w:val="0"/>
                <w:sz w:val="28"/>
                <w:szCs w:val="28"/>
              </w:rPr>
            </w:r>
            <w:r>
              <w:rPr>
                <w:rFonts w:ascii="仿宋" w:hAnsi="仿宋" w:cs="仿宋" w:hint="eastAsia"/>
                <w:b w:val="0"/>
                <w:bCs w:val="0"/>
                <w:sz w:val="28"/>
                <w:szCs w:val="28"/>
              </w:rPr>
              <w:fldChar w:fldCharType="separate"/>
            </w:r>
            <w:r>
              <w:rPr>
                <w:rFonts w:ascii="仿宋" w:hAnsi="仿宋" w:cs="仿宋" w:hint="eastAsia"/>
                <w:b w:val="0"/>
                <w:bCs w:val="0"/>
                <w:sz w:val="28"/>
                <w:szCs w:val="28"/>
              </w:rPr>
              <w:t>26</w:t>
            </w:r>
            <w:r>
              <w:rPr>
                <w:rFonts w:ascii="仿宋" w:hAnsi="仿宋" w:cs="仿宋" w:hint="eastAsia"/>
                <w:b w:val="0"/>
                <w:bCs w:val="0"/>
                <w:sz w:val="28"/>
                <w:szCs w:val="28"/>
              </w:rPr>
              <w:fldChar w:fldCharType="end"/>
            </w:r>
          </w:hyperlink>
        </w:p>
        <w:p w14:paraId="0F299473" w14:textId="77777777" w:rsidR="007F77F7" w:rsidRDefault="00000000">
          <w:pPr>
            <w:pStyle w:val="TOC2"/>
            <w:tabs>
              <w:tab w:val="right" w:leader="middleDot" w:pos="9750"/>
            </w:tabs>
            <w:spacing w:line="480" w:lineRule="auto"/>
            <w:ind w:left="0" w:firstLine="560"/>
          </w:pPr>
          <w:hyperlink w:anchor="_Toc30559" w:history="1">
            <w:r>
              <w:rPr>
                <w:rFonts w:ascii="仿宋" w:hAnsi="仿宋" w:cs="仿宋" w:hint="eastAsia"/>
                <w:sz w:val="28"/>
                <w:szCs w:val="28"/>
                <w:lang w:eastAsia="zh-CN"/>
              </w:rPr>
              <w:t>（三）税务总局发布农村中小银行改革税务合规典型案例</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_Toc30559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29</w:t>
            </w:r>
            <w:r>
              <w:rPr>
                <w:rFonts w:ascii="仿宋" w:hAnsi="仿宋" w:cs="仿宋" w:hint="eastAsia"/>
                <w:sz w:val="28"/>
                <w:szCs w:val="28"/>
              </w:rPr>
              <w:fldChar w:fldCharType="end"/>
            </w:r>
          </w:hyperlink>
        </w:p>
        <w:p w14:paraId="4930BB6C" w14:textId="77777777" w:rsidR="007F77F7" w:rsidRDefault="00000000">
          <w:pPr>
            <w:pStyle w:val="1"/>
            <w:spacing w:line="480" w:lineRule="auto"/>
            <w:ind w:firstLine="640"/>
            <w:rPr>
              <w:rFonts w:ascii="宋体" w:eastAsia="宋体" w:hAnsi="宋体" w:cs="宋体" w:hint="eastAsia"/>
              <w:sz w:val="24"/>
              <w:szCs w:val="24"/>
            </w:rPr>
          </w:pPr>
          <w:r>
            <w:rPr>
              <w:rFonts w:ascii="宋体" w:eastAsia="宋体" w:hAnsi="宋体" w:cs="宋体" w:hint="eastAsia"/>
              <w:szCs w:val="24"/>
            </w:rPr>
            <w:fldChar w:fldCharType="end"/>
          </w:r>
        </w:p>
      </w:sdtContent>
    </w:sdt>
    <w:p w14:paraId="6D92E830" w14:textId="77777777" w:rsidR="007F77F7" w:rsidRDefault="007F77F7">
      <w:pPr>
        <w:spacing w:line="480" w:lineRule="auto"/>
        <w:ind w:firstLine="480"/>
        <w:rPr>
          <w:rFonts w:ascii="宋体" w:eastAsia="宋体" w:hAnsi="宋体" w:cs="宋体" w:hint="eastAsia"/>
          <w:sz w:val="24"/>
          <w:szCs w:val="24"/>
          <w:lang w:eastAsia="zh-CN"/>
        </w:rPr>
        <w:sectPr w:rsidR="007F77F7">
          <w:footerReference w:type="default" r:id="rId13"/>
          <w:pgSz w:w="11910" w:h="16840"/>
          <w:pgMar w:top="1440" w:right="1080" w:bottom="1440" w:left="1080" w:header="947" w:footer="970" w:gutter="0"/>
          <w:pgNumType w:start="1"/>
          <w:cols w:space="720"/>
        </w:sectPr>
      </w:pPr>
    </w:p>
    <w:p w14:paraId="37E25DFE" w14:textId="77777777" w:rsidR="007F77F7" w:rsidRDefault="00000000">
      <w:pPr>
        <w:pStyle w:val="1"/>
        <w:ind w:firstLine="640"/>
        <w:rPr>
          <w:rFonts w:hint="eastAsia"/>
        </w:rPr>
      </w:pPr>
      <w:r>
        <w:rPr>
          <w:rFonts w:hint="eastAsia"/>
        </w:rPr>
        <w:lastRenderedPageBreak/>
        <w:t>一、编写律师简介</w:t>
      </w:r>
    </w:p>
    <w:p w14:paraId="023CAA20" w14:textId="416752CE" w:rsidR="007F77F7" w:rsidRDefault="00000000" w:rsidP="000F092A">
      <w:pPr>
        <w:spacing w:beforeLines="100" w:before="240" w:afterLines="100" w:after="240"/>
        <w:ind w:firstLineChars="171" w:firstLine="479"/>
        <w:rPr>
          <w:rFonts w:ascii="仿宋" w:hAnsi="仿宋" w:cs="仿宋" w:hint="eastAsia"/>
          <w:b/>
          <w:bCs/>
          <w:color w:val="000000"/>
          <w:szCs w:val="28"/>
          <w:lang w:eastAsia="zh-CN"/>
        </w:rPr>
      </w:pPr>
      <w:r>
        <w:rPr>
          <w:rFonts w:ascii="仿宋" w:hAnsi="仿宋" w:cs="仿宋" w:hint="eastAsia"/>
          <w:noProof/>
          <w:color w:val="000000"/>
          <w:szCs w:val="28"/>
          <w:lang w:eastAsia="zh-CN"/>
        </w:rPr>
        <w:drawing>
          <wp:anchor distT="0" distB="0" distL="114300" distR="114300" simplePos="0" relativeHeight="251659264" behindDoc="0" locked="0" layoutInCell="1" allowOverlap="1" wp14:anchorId="485824F2" wp14:editId="2420A13D">
            <wp:simplePos x="0" y="0"/>
            <wp:positionH relativeFrom="margin">
              <wp:posOffset>114300</wp:posOffset>
            </wp:positionH>
            <wp:positionV relativeFrom="paragraph">
              <wp:posOffset>259080</wp:posOffset>
            </wp:positionV>
            <wp:extent cx="3017520" cy="3606165"/>
            <wp:effectExtent l="0" t="0" r="0" b="0"/>
            <wp:wrapSquare wrapText="bothSides"/>
            <wp:docPr id="1" name="图片 1" descr="/Users/wanghaiwei/Library/Containers/com.kingsoft.wpsoffice.mac/Data/tmp/picturecompress_20260927212837/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wanghaiwei/Library/Containers/com.kingsoft.wpsoffice.mac/Data/tmp/picturecompress_20260927212837/output_1.pngoutput_1"/>
                    <pic:cNvPicPr>
                      <a:picLocks noChangeAspect="1"/>
                    </pic:cNvPicPr>
                  </pic:nvPicPr>
                  <pic:blipFill>
                    <a:blip r:embed="rId14"/>
                    <a:stretch>
                      <a:fillRect/>
                    </a:stretch>
                  </pic:blipFill>
                  <pic:spPr>
                    <a:xfrm>
                      <a:off x="0" y="0"/>
                      <a:ext cx="3017520" cy="3606165"/>
                    </a:xfrm>
                    <a:prstGeom prst="rect">
                      <a:avLst/>
                    </a:prstGeom>
                  </pic:spPr>
                </pic:pic>
              </a:graphicData>
            </a:graphic>
          </wp:anchor>
        </w:drawing>
      </w:r>
      <w:r>
        <w:rPr>
          <w:rFonts w:ascii="仿宋" w:hAnsi="仿宋" w:cs="仿宋" w:hint="eastAsia"/>
          <w:b/>
          <w:bCs/>
          <w:color w:val="000000"/>
          <w:szCs w:val="28"/>
          <w:lang w:eastAsia="zh-CN"/>
        </w:rPr>
        <w:t>王海伟  律 师</w:t>
      </w:r>
    </w:p>
    <w:p w14:paraId="6C5740B9" w14:textId="059E66A2" w:rsidR="007F77F7" w:rsidRDefault="00000000">
      <w:pPr>
        <w:spacing w:line="360" w:lineRule="auto"/>
        <w:ind w:firstLine="560"/>
        <w:rPr>
          <w:lang w:eastAsia="zh-CN"/>
        </w:rPr>
      </w:pPr>
      <w:r>
        <w:rPr>
          <w:rFonts w:hint="eastAsia"/>
          <w:lang w:eastAsia="zh-CN"/>
        </w:rPr>
        <w:t>河南国厚律师事务所副主任，二级律师，现任河南省律师协会财务管理专门委员会副主任、税收法律专业委员会执委、安阳市律师协会财税专业委员会主任。</w:t>
      </w:r>
    </w:p>
    <w:p w14:paraId="6A5AF4C4" w14:textId="77777777" w:rsidR="007F77F7" w:rsidRDefault="007F77F7">
      <w:pPr>
        <w:pStyle w:val="1"/>
        <w:ind w:firstLine="560"/>
      </w:pPr>
    </w:p>
    <w:p w14:paraId="695EAF8A" w14:textId="77777777" w:rsidR="00F53987" w:rsidRDefault="00F53987" w:rsidP="00F53987">
      <w:pPr>
        <w:ind w:firstLine="560"/>
        <w:rPr>
          <w:lang w:eastAsia="zh-CN"/>
        </w:rPr>
      </w:pPr>
    </w:p>
    <w:p w14:paraId="268C9642" w14:textId="77777777" w:rsidR="00F53987" w:rsidRDefault="00F53987" w:rsidP="00F53987">
      <w:pPr>
        <w:ind w:firstLine="560"/>
        <w:rPr>
          <w:lang w:eastAsia="zh-CN"/>
        </w:rPr>
      </w:pPr>
    </w:p>
    <w:p w14:paraId="46DF892C" w14:textId="77777777" w:rsidR="00F53987" w:rsidRDefault="00F53987" w:rsidP="00F53987">
      <w:pPr>
        <w:ind w:firstLine="560"/>
        <w:rPr>
          <w:lang w:eastAsia="zh-CN"/>
        </w:rPr>
      </w:pPr>
    </w:p>
    <w:p w14:paraId="3A81791E" w14:textId="77777777" w:rsidR="00F53987" w:rsidRDefault="00F53987" w:rsidP="00F53987">
      <w:pPr>
        <w:ind w:firstLine="560"/>
        <w:rPr>
          <w:lang w:eastAsia="zh-CN"/>
        </w:rPr>
      </w:pPr>
    </w:p>
    <w:p w14:paraId="3E6CE1D7" w14:textId="77777777" w:rsidR="007F77F7" w:rsidRDefault="00000000">
      <w:pPr>
        <w:pStyle w:val="1"/>
        <w:ind w:firstLine="640"/>
        <w:rPr>
          <w:rFonts w:hint="eastAsia"/>
        </w:rPr>
      </w:pPr>
      <w:r>
        <w:rPr>
          <w:rFonts w:hint="eastAsia"/>
        </w:rPr>
        <w:t>二、要闻播报</w:t>
      </w:r>
    </w:p>
    <w:p w14:paraId="7220B863" w14:textId="77777777" w:rsidR="007F77F7" w:rsidRDefault="00000000">
      <w:pPr>
        <w:pStyle w:val="2"/>
        <w:spacing w:before="140" w:after="140" w:line="360" w:lineRule="auto"/>
        <w:ind w:firstLine="600"/>
        <w:rPr>
          <w:lang w:eastAsia="zh-CN"/>
        </w:rPr>
      </w:pPr>
      <w:r>
        <w:rPr>
          <w:rFonts w:hint="eastAsia"/>
          <w:lang w:eastAsia="zh-CN"/>
        </w:rPr>
        <w:t>（一）前八个月税收收入稳中有升</w:t>
      </w:r>
      <w:r>
        <w:rPr>
          <w:rFonts w:hint="eastAsia"/>
          <w:lang w:eastAsia="zh-CN"/>
        </w:rPr>
        <w:t xml:space="preserve"> </w:t>
      </w:r>
      <w:r>
        <w:rPr>
          <w:rFonts w:hint="eastAsia"/>
          <w:lang w:eastAsia="zh-CN"/>
        </w:rPr>
        <w:t>与经济增长基本同步</w:t>
      </w:r>
    </w:p>
    <w:p w14:paraId="6C4EB283" w14:textId="77777777" w:rsidR="007F77F7" w:rsidRDefault="00000000">
      <w:pPr>
        <w:spacing w:line="360" w:lineRule="auto"/>
        <w:ind w:firstLine="560"/>
        <w:rPr>
          <w:lang w:eastAsia="zh-CN"/>
        </w:rPr>
      </w:pPr>
      <w:r>
        <w:rPr>
          <w:rFonts w:hint="eastAsia"/>
          <w:lang w:eastAsia="zh-CN"/>
        </w:rPr>
        <w:t>税收数据显示，今年前八个月，税务部门征收税收收入（不含海关代征进口增值税、消费税和关税、船舶吨税，未扣除出口退税）同比增长</w:t>
      </w:r>
      <w:r>
        <w:rPr>
          <w:rFonts w:hint="eastAsia"/>
          <w:lang w:eastAsia="zh-CN"/>
        </w:rPr>
        <w:t>5.9%</w:t>
      </w:r>
      <w:r>
        <w:rPr>
          <w:rFonts w:hint="eastAsia"/>
          <w:lang w:eastAsia="zh-CN"/>
        </w:rPr>
        <w:t>，与上半年现价</w:t>
      </w:r>
      <w:r>
        <w:rPr>
          <w:rFonts w:hint="eastAsia"/>
          <w:lang w:eastAsia="zh-CN"/>
        </w:rPr>
        <w:t>GDP</w:t>
      </w:r>
      <w:r>
        <w:rPr>
          <w:rFonts w:hint="eastAsia"/>
          <w:lang w:eastAsia="zh-CN"/>
        </w:rPr>
        <w:t>增速</w:t>
      </w:r>
      <w:r>
        <w:rPr>
          <w:rFonts w:hint="eastAsia"/>
          <w:lang w:eastAsia="zh-CN"/>
        </w:rPr>
        <w:t>5.4%</w:t>
      </w:r>
      <w:r>
        <w:rPr>
          <w:rFonts w:hint="eastAsia"/>
          <w:lang w:eastAsia="zh-CN"/>
        </w:rPr>
        <w:t>相比，略高出</w:t>
      </w:r>
      <w:r>
        <w:rPr>
          <w:rFonts w:hint="eastAsia"/>
          <w:lang w:eastAsia="zh-CN"/>
        </w:rPr>
        <w:t>0.5</w:t>
      </w:r>
      <w:r>
        <w:rPr>
          <w:rFonts w:hint="eastAsia"/>
          <w:lang w:eastAsia="zh-CN"/>
        </w:rPr>
        <w:t>个百分点。</w:t>
      </w:r>
    </w:p>
    <w:p w14:paraId="222331DE" w14:textId="77777777" w:rsidR="007F77F7" w:rsidRDefault="00000000">
      <w:pPr>
        <w:spacing w:line="360" w:lineRule="auto"/>
        <w:ind w:firstLine="560"/>
        <w:rPr>
          <w:lang w:eastAsia="zh-CN"/>
        </w:rPr>
      </w:pPr>
      <w:r>
        <w:rPr>
          <w:rFonts w:hint="eastAsia"/>
          <w:lang w:eastAsia="zh-CN"/>
        </w:rPr>
        <w:t>税务总局税收科学研究所所长黄立新认为，税收收入按现价计算，今年以来税收增长总体上与经济增长基本相匹配，主要有三方面因素使税收增速略快于</w:t>
      </w:r>
      <w:r>
        <w:rPr>
          <w:rFonts w:hint="eastAsia"/>
          <w:lang w:eastAsia="zh-CN"/>
        </w:rPr>
        <w:t>GDP</w:t>
      </w:r>
      <w:r>
        <w:rPr>
          <w:rFonts w:hint="eastAsia"/>
          <w:lang w:eastAsia="zh-CN"/>
        </w:rPr>
        <w:t>增速。</w:t>
      </w:r>
    </w:p>
    <w:p w14:paraId="3B3CE93D" w14:textId="77777777" w:rsidR="007F77F7" w:rsidRDefault="00000000">
      <w:pPr>
        <w:spacing w:line="360" w:lineRule="auto"/>
        <w:ind w:firstLine="560"/>
        <w:rPr>
          <w:lang w:eastAsia="zh-CN"/>
        </w:rPr>
      </w:pPr>
      <w:r>
        <w:rPr>
          <w:rFonts w:hint="eastAsia"/>
          <w:lang w:eastAsia="zh-CN"/>
        </w:rPr>
        <w:t>一是价格上涨因素。与税收收入高度相关的</w:t>
      </w:r>
      <w:r>
        <w:rPr>
          <w:rFonts w:hint="eastAsia"/>
          <w:lang w:eastAsia="zh-CN"/>
        </w:rPr>
        <w:t>PPI</w:t>
      </w:r>
      <w:r>
        <w:rPr>
          <w:rFonts w:hint="eastAsia"/>
          <w:lang w:eastAsia="zh-CN"/>
        </w:rPr>
        <w:t>于今年</w:t>
      </w:r>
      <w:r>
        <w:rPr>
          <w:rFonts w:hint="eastAsia"/>
          <w:lang w:eastAsia="zh-CN"/>
        </w:rPr>
        <w:t>3</w:t>
      </w:r>
      <w:r>
        <w:rPr>
          <w:rFonts w:hint="eastAsia"/>
          <w:lang w:eastAsia="zh-CN"/>
        </w:rPr>
        <w:t>月份转正，结束了长达</w:t>
      </w:r>
      <w:r>
        <w:rPr>
          <w:rFonts w:hint="eastAsia"/>
          <w:lang w:eastAsia="zh-CN"/>
        </w:rPr>
        <w:t>41</w:t>
      </w:r>
      <w:r>
        <w:rPr>
          <w:rFonts w:hint="eastAsia"/>
          <w:lang w:eastAsia="zh-CN"/>
        </w:rPr>
        <w:t>个月的负增长，随后增速总体提升，前八个月累计上涨</w:t>
      </w:r>
      <w:r>
        <w:rPr>
          <w:rFonts w:hint="eastAsia"/>
          <w:lang w:eastAsia="zh-CN"/>
        </w:rPr>
        <w:t>2%</w:t>
      </w:r>
      <w:r>
        <w:rPr>
          <w:rFonts w:hint="eastAsia"/>
          <w:lang w:eastAsia="zh-CN"/>
        </w:rPr>
        <w:t>，拉动以现价计算的税收收入较快增长。但上半年价格对</w:t>
      </w:r>
      <w:r>
        <w:rPr>
          <w:rFonts w:hint="eastAsia"/>
          <w:lang w:eastAsia="zh-CN"/>
        </w:rPr>
        <w:t>GDP</w:t>
      </w:r>
      <w:r>
        <w:rPr>
          <w:rFonts w:hint="eastAsia"/>
          <w:lang w:eastAsia="zh-CN"/>
        </w:rPr>
        <w:t>增速的影响</w:t>
      </w:r>
      <w:r>
        <w:rPr>
          <w:rFonts w:hint="eastAsia"/>
          <w:lang w:eastAsia="zh-CN"/>
        </w:rPr>
        <w:lastRenderedPageBreak/>
        <w:t>体现为</w:t>
      </w:r>
      <w:r>
        <w:rPr>
          <w:rFonts w:hint="eastAsia"/>
          <w:lang w:eastAsia="zh-CN"/>
        </w:rPr>
        <w:t>GDP</w:t>
      </w:r>
      <w:r>
        <w:rPr>
          <w:rFonts w:hint="eastAsia"/>
          <w:lang w:eastAsia="zh-CN"/>
        </w:rPr>
        <w:t>平减指数（经测算为</w:t>
      </w:r>
      <w:r>
        <w:rPr>
          <w:rFonts w:hint="eastAsia"/>
          <w:lang w:eastAsia="zh-CN"/>
        </w:rPr>
        <w:t>0.7%</w:t>
      </w:r>
      <w:r>
        <w:rPr>
          <w:rFonts w:hint="eastAsia"/>
          <w:lang w:eastAsia="zh-CN"/>
        </w:rPr>
        <w:t>），价格因素对税收和</w:t>
      </w:r>
      <w:r>
        <w:rPr>
          <w:rFonts w:hint="eastAsia"/>
          <w:lang w:eastAsia="zh-CN"/>
        </w:rPr>
        <w:t>GDP</w:t>
      </w:r>
      <w:r>
        <w:rPr>
          <w:rFonts w:hint="eastAsia"/>
          <w:lang w:eastAsia="zh-CN"/>
        </w:rPr>
        <w:t>增长影响存在差异。</w:t>
      </w:r>
    </w:p>
    <w:p w14:paraId="2ACCAFF7" w14:textId="77777777" w:rsidR="007F77F7" w:rsidRDefault="00000000">
      <w:pPr>
        <w:spacing w:line="360" w:lineRule="auto"/>
        <w:ind w:firstLine="560"/>
        <w:rPr>
          <w:lang w:eastAsia="zh-CN"/>
        </w:rPr>
      </w:pPr>
      <w:r>
        <w:rPr>
          <w:rFonts w:hint="eastAsia"/>
          <w:lang w:eastAsia="zh-CN"/>
        </w:rPr>
        <w:t>二是资本市场因素。资本市场交易带动证券交易印花税、企业所得税、个人所得税、国内增值税等增长。今年资本市场总体较为活跃，前八个月</w:t>
      </w:r>
      <w:r>
        <w:rPr>
          <w:rFonts w:hint="eastAsia"/>
          <w:lang w:eastAsia="zh-CN"/>
        </w:rPr>
        <w:t>A</w:t>
      </w:r>
      <w:r>
        <w:rPr>
          <w:rFonts w:hint="eastAsia"/>
          <w:lang w:eastAsia="zh-CN"/>
        </w:rPr>
        <w:t>股日均股票成交额</w:t>
      </w:r>
      <w:r>
        <w:rPr>
          <w:rFonts w:hint="eastAsia"/>
          <w:lang w:eastAsia="zh-CN"/>
        </w:rPr>
        <w:t>2.7</w:t>
      </w:r>
      <w:r>
        <w:rPr>
          <w:rFonts w:hint="eastAsia"/>
          <w:lang w:eastAsia="zh-CN"/>
        </w:rPr>
        <w:t>万亿元，较去年同期增长</w:t>
      </w:r>
      <w:r>
        <w:rPr>
          <w:rFonts w:hint="eastAsia"/>
          <w:lang w:eastAsia="zh-CN"/>
        </w:rPr>
        <w:t>72.8%</w:t>
      </w:r>
      <w:r>
        <w:rPr>
          <w:rFonts w:hint="eastAsia"/>
          <w:lang w:eastAsia="zh-CN"/>
        </w:rPr>
        <w:t>，带动相关税种、行业税收较快增长，其中证券交易印花税增长</w:t>
      </w:r>
      <w:r>
        <w:rPr>
          <w:rFonts w:hint="eastAsia"/>
          <w:lang w:eastAsia="zh-CN"/>
        </w:rPr>
        <w:t>82%</w:t>
      </w:r>
      <w:r>
        <w:rPr>
          <w:rFonts w:hint="eastAsia"/>
          <w:lang w:eastAsia="zh-CN"/>
        </w:rPr>
        <w:t>，限售股转让所得个人所得税增长</w:t>
      </w:r>
      <w:r>
        <w:rPr>
          <w:rFonts w:hint="eastAsia"/>
          <w:lang w:eastAsia="zh-CN"/>
        </w:rPr>
        <w:t>59.7%</w:t>
      </w:r>
      <w:r>
        <w:rPr>
          <w:rFonts w:hint="eastAsia"/>
          <w:lang w:eastAsia="zh-CN"/>
        </w:rPr>
        <w:t>；证券业税收收入同比增长</w:t>
      </w:r>
      <w:r>
        <w:rPr>
          <w:rFonts w:hint="eastAsia"/>
          <w:lang w:eastAsia="zh-CN"/>
        </w:rPr>
        <w:t>65.6%</w:t>
      </w:r>
      <w:r>
        <w:rPr>
          <w:rFonts w:hint="eastAsia"/>
          <w:lang w:eastAsia="zh-CN"/>
        </w:rPr>
        <w:t>，保险业、其他金融业税收收入分别增长</w:t>
      </w:r>
      <w:r>
        <w:rPr>
          <w:rFonts w:hint="eastAsia"/>
          <w:lang w:eastAsia="zh-CN"/>
        </w:rPr>
        <w:t>14.6%</w:t>
      </w:r>
      <w:r>
        <w:rPr>
          <w:rFonts w:hint="eastAsia"/>
          <w:lang w:eastAsia="zh-CN"/>
        </w:rPr>
        <w:t>和</w:t>
      </w:r>
      <w:r>
        <w:rPr>
          <w:rFonts w:hint="eastAsia"/>
          <w:lang w:eastAsia="zh-CN"/>
        </w:rPr>
        <w:t>18.5%</w:t>
      </w:r>
      <w:r>
        <w:rPr>
          <w:rFonts w:hint="eastAsia"/>
          <w:lang w:eastAsia="zh-CN"/>
        </w:rPr>
        <w:t>，其他行业税收收入也受相关企业投资股票市场收益增加带动。但证券交易及其带来的投资收益均属于存量资产权属转移，不属于当期生产活动创造的价值，虽可直接带来税收增长，但基本不会增加当期</w:t>
      </w:r>
      <w:r>
        <w:rPr>
          <w:rFonts w:hint="eastAsia"/>
          <w:lang w:eastAsia="zh-CN"/>
        </w:rPr>
        <w:t>GDP</w:t>
      </w:r>
      <w:r>
        <w:rPr>
          <w:rFonts w:hint="eastAsia"/>
          <w:lang w:eastAsia="zh-CN"/>
        </w:rPr>
        <w:t>。</w:t>
      </w:r>
    </w:p>
    <w:p w14:paraId="0987524D" w14:textId="77777777" w:rsidR="007F77F7" w:rsidRDefault="00000000">
      <w:pPr>
        <w:spacing w:line="360" w:lineRule="auto"/>
        <w:ind w:firstLine="560"/>
        <w:rPr>
          <w:lang w:eastAsia="zh-CN"/>
        </w:rPr>
      </w:pPr>
      <w:r>
        <w:rPr>
          <w:rFonts w:hint="eastAsia"/>
          <w:lang w:eastAsia="zh-CN"/>
        </w:rPr>
        <w:t>三是政策调整因素。《中华人民共和国增值税法》及其实施条例自今年</w:t>
      </w:r>
      <w:r>
        <w:rPr>
          <w:rFonts w:hint="eastAsia"/>
          <w:lang w:eastAsia="zh-CN"/>
        </w:rPr>
        <w:t>1</w:t>
      </w:r>
      <w:r>
        <w:rPr>
          <w:rFonts w:hint="eastAsia"/>
          <w:lang w:eastAsia="zh-CN"/>
        </w:rPr>
        <w:t>月</w:t>
      </w:r>
      <w:r>
        <w:rPr>
          <w:rFonts w:hint="eastAsia"/>
          <w:lang w:eastAsia="zh-CN"/>
        </w:rPr>
        <w:t>1</w:t>
      </w:r>
      <w:r>
        <w:rPr>
          <w:rFonts w:hint="eastAsia"/>
          <w:lang w:eastAsia="zh-CN"/>
        </w:rPr>
        <w:t>日正式施行，一些税收政策也相应进行了调整，同时，国家还对一些不符合高质量发展、不符合当前形势的税收优惠进行了规范，带来税收收入增加，但政策调整不会直接带来</w:t>
      </w:r>
      <w:r>
        <w:rPr>
          <w:rFonts w:hint="eastAsia"/>
          <w:lang w:eastAsia="zh-CN"/>
        </w:rPr>
        <w:t>GDP</w:t>
      </w:r>
      <w:r>
        <w:rPr>
          <w:rFonts w:hint="eastAsia"/>
          <w:lang w:eastAsia="zh-CN"/>
        </w:rPr>
        <w:t>增长。</w:t>
      </w:r>
    </w:p>
    <w:p w14:paraId="276D16F6" w14:textId="77777777" w:rsidR="007F77F7" w:rsidRDefault="00000000">
      <w:pPr>
        <w:spacing w:line="360" w:lineRule="auto"/>
        <w:ind w:firstLine="560"/>
        <w:rPr>
          <w:lang w:eastAsia="zh-CN"/>
        </w:rPr>
      </w:pPr>
      <w:r>
        <w:rPr>
          <w:rFonts w:hint="eastAsia"/>
          <w:lang w:eastAsia="zh-CN"/>
        </w:rPr>
        <w:t>“在上述因素综合作用下，税收收入增速略高于</w:t>
      </w:r>
      <w:r>
        <w:rPr>
          <w:rFonts w:hint="eastAsia"/>
          <w:lang w:eastAsia="zh-CN"/>
        </w:rPr>
        <w:t>GDP</w:t>
      </w:r>
      <w:r>
        <w:rPr>
          <w:rFonts w:hint="eastAsia"/>
          <w:lang w:eastAsia="zh-CN"/>
        </w:rPr>
        <w:t>增速，但总体上与经济税源增长是相匹配的，这也彰显了我国经济发展的韧性和活力。”黄立新表示。</w:t>
      </w:r>
    </w:p>
    <w:p w14:paraId="1F169DAE" w14:textId="77777777" w:rsidR="007F77F7" w:rsidRDefault="00000000">
      <w:pPr>
        <w:spacing w:line="360" w:lineRule="auto"/>
        <w:ind w:firstLine="560"/>
        <w:rPr>
          <w:lang w:eastAsia="zh-CN"/>
        </w:rPr>
      </w:pPr>
      <w:r>
        <w:rPr>
          <w:rFonts w:hint="eastAsia"/>
          <w:lang w:eastAsia="zh-CN"/>
        </w:rPr>
        <w:t>中央财经大学副校长陈斌开分析，从纳税主体看，税收收入主要由大型企业贡献，小微企业享受较多税收优惠政策，整体税收贡献显著低于大型企业。</w:t>
      </w:r>
    </w:p>
    <w:p w14:paraId="41ABEC89" w14:textId="77777777" w:rsidR="007F77F7" w:rsidRDefault="00000000">
      <w:pPr>
        <w:spacing w:line="360" w:lineRule="auto"/>
        <w:ind w:firstLine="560"/>
        <w:rPr>
          <w:lang w:eastAsia="zh-CN"/>
        </w:rPr>
      </w:pPr>
      <w:r>
        <w:rPr>
          <w:rFonts w:hint="eastAsia"/>
          <w:lang w:eastAsia="zh-CN"/>
        </w:rPr>
        <w:t>税收数据显示，今年前八个月，纳税规模居前一万户企业缴纳的税收占全部税收比重接近一半，前一百万户企业缴纳的税收占全部税收的比重达九成，而包括小微企业在内的其他企业税收只占一成左右。</w:t>
      </w:r>
    </w:p>
    <w:p w14:paraId="7B9E12D1" w14:textId="77777777" w:rsidR="007F77F7" w:rsidRDefault="00000000">
      <w:pPr>
        <w:spacing w:line="360" w:lineRule="auto"/>
        <w:ind w:firstLine="560"/>
        <w:rPr>
          <w:lang w:eastAsia="zh-CN"/>
        </w:rPr>
      </w:pPr>
      <w:r>
        <w:rPr>
          <w:rFonts w:hint="eastAsia"/>
          <w:lang w:eastAsia="zh-CN"/>
        </w:rPr>
        <w:t>“这是因为近年来我国实施一系列惠及小微企业的税费优惠政策，比如，月销售额</w:t>
      </w:r>
      <w:r>
        <w:rPr>
          <w:rFonts w:hint="eastAsia"/>
          <w:lang w:eastAsia="zh-CN"/>
        </w:rPr>
        <w:t>10</w:t>
      </w:r>
      <w:r>
        <w:rPr>
          <w:rFonts w:hint="eastAsia"/>
          <w:lang w:eastAsia="zh-CN"/>
        </w:rPr>
        <w:t>万元以下的增值税小规模纳税人免征增值税，符合条</w:t>
      </w:r>
      <w:r>
        <w:rPr>
          <w:rFonts w:hint="eastAsia"/>
          <w:lang w:eastAsia="zh-CN"/>
        </w:rPr>
        <w:lastRenderedPageBreak/>
        <w:t>件的小型微利企业的企业所得税实际税负降至</w:t>
      </w:r>
      <w:r>
        <w:rPr>
          <w:rFonts w:hint="eastAsia"/>
          <w:lang w:eastAsia="zh-CN"/>
        </w:rPr>
        <w:t>5%</w:t>
      </w:r>
      <w:r>
        <w:rPr>
          <w:rFonts w:hint="eastAsia"/>
          <w:lang w:eastAsia="zh-CN"/>
        </w:rPr>
        <w:t>等，这对降低数量庞大的小微企业税负起到了非常重要的作用。”陈斌开解释。</w:t>
      </w:r>
    </w:p>
    <w:p w14:paraId="7A44CDF7" w14:textId="77777777" w:rsidR="007F77F7" w:rsidRDefault="00000000">
      <w:pPr>
        <w:spacing w:line="360" w:lineRule="auto"/>
        <w:ind w:firstLine="560"/>
        <w:rPr>
          <w:lang w:eastAsia="zh-CN"/>
        </w:rPr>
      </w:pPr>
      <w:r>
        <w:rPr>
          <w:rFonts w:hint="eastAsia"/>
          <w:lang w:eastAsia="zh-CN"/>
        </w:rPr>
        <w:t>提示：税收收入增速与</w:t>
      </w:r>
      <w:r>
        <w:rPr>
          <w:rFonts w:hint="eastAsia"/>
          <w:lang w:eastAsia="zh-CN"/>
        </w:rPr>
        <w:t>GDP</w:t>
      </w:r>
      <w:r>
        <w:rPr>
          <w:rFonts w:hint="eastAsia"/>
          <w:lang w:eastAsia="zh-CN"/>
        </w:rPr>
        <w:t>增速之间的差异，一定程度上体现了税制与征管口径对经济结构变化的敏感度。其中资本市场相关税种的高速增长值得关注——证券交易印花税增长</w:t>
      </w:r>
      <w:r>
        <w:rPr>
          <w:rFonts w:hint="eastAsia"/>
          <w:lang w:eastAsia="zh-CN"/>
        </w:rPr>
        <w:t>82%</w:t>
      </w:r>
      <w:r>
        <w:rPr>
          <w:rFonts w:hint="eastAsia"/>
          <w:lang w:eastAsia="zh-CN"/>
        </w:rPr>
        <w:t>、限售股转让所得个人所得税增长</w:t>
      </w:r>
      <w:r>
        <w:rPr>
          <w:rFonts w:hint="eastAsia"/>
          <w:lang w:eastAsia="zh-CN"/>
        </w:rPr>
        <w:t>59.7%</w:t>
      </w:r>
      <w:r>
        <w:rPr>
          <w:rFonts w:hint="eastAsia"/>
          <w:lang w:eastAsia="zh-CN"/>
        </w:rPr>
        <w:t>，意味着股权转让、限售股减持、证券交易等领域的涉税服务与争议解决需求同步上升。从事涉税法律服务的律师应当密切跟踪资本市场税收政策的调整动向，在服务中把握合规边界，防范因交易结构设计不当而引发的税务风险。</w:t>
      </w:r>
    </w:p>
    <w:p w14:paraId="3C9E6841" w14:textId="77777777" w:rsidR="007F77F7" w:rsidRDefault="00000000">
      <w:pPr>
        <w:spacing w:line="360" w:lineRule="auto"/>
        <w:ind w:firstLine="560"/>
        <w:jc w:val="left"/>
        <w:rPr>
          <w:lang w:eastAsia="zh-CN"/>
        </w:rPr>
      </w:pPr>
      <w:r>
        <w:rPr>
          <w:rFonts w:hint="eastAsia"/>
          <w:lang w:eastAsia="zh-CN"/>
        </w:rPr>
        <w:t>信息来源：国家税务总局　人民日报客户端</w:t>
      </w:r>
    </w:p>
    <w:p w14:paraId="24125244" w14:textId="77777777" w:rsidR="007F77F7" w:rsidRDefault="00000000">
      <w:pPr>
        <w:spacing w:line="360" w:lineRule="auto"/>
        <w:ind w:firstLine="560"/>
        <w:jc w:val="left"/>
        <w:rPr>
          <w:lang w:eastAsia="zh-CN"/>
        </w:rPr>
      </w:pPr>
      <w:r>
        <w:rPr>
          <w:rFonts w:hint="eastAsia"/>
          <w:lang w:eastAsia="zh-CN"/>
        </w:rPr>
        <w:t>时间：</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20</w:t>
      </w:r>
      <w:r>
        <w:rPr>
          <w:rFonts w:hint="eastAsia"/>
          <w:lang w:eastAsia="zh-CN"/>
        </w:rPr>
        <w:t>日</w:t>
      </w:r>
    </w:p>
    <w:p w14:paraId="6DEACD92" w14:textId="77777777" w:rsidR="007F77F7" w:rsidRDefault="00000000">
      <w:pPr>
        <w:spacing w:line="360" w:lineRule="auto"/>
        <w:ind w:firstLine="560"/>
        <w:rPr>
          <w:lang w:eastAsia="zh-CN"/>
        </w:rPr>
      </w:pPr>
      <w:r>
        <w:rPr>
          <w:rFonts w:hint="eastAsia"/>
          <w:lang w:eastAsia="zh-CN"/>
        </w:rPr>
        <w:t>链接：</w:t>
      </w:r>
      <w:r>
        <w:rPr>
          <w:rFonts w:hint="eastAsia"/>
          <w:lang w:eastAsia="zh-CN"/>
        </w:rPr>
        <w:t>https://www.peopleapp.com/column/30053180912-500007706944</w:t>
      </w:r>
    </w:p>
    <w:p w14:paraId="63DD5632" w14:textId="77777777" w:rsidR="007F77F7" w:rsidRDefault="00000000">
      <w:pPr>
        <w:pStyle w:val="2"/>
        <w:spacing w:before="140" w:after="140" w:line="360" w:lineRule="auto"/>
        <w:ind w:firstLine="600"/>
        <w:rPr>
          <w:lang w:eastAsia="zh-CN"/>
        </w:rPr>
      </w:pPr>
      <w:r>
        <w:rPr>
          <w:rFonts w:hint="eastAsia"/>
          <w:lang w:eastAsia="zh-CN"/>
        </w:rPr>
        <w:t>（二）发票数据显示前</w:t>
      </w:r>
      <w:r>
        <w:rPr>
          <w:rFonts w:hint="eastAsia"/>
          <w:lang w:eastAsia="zh-CN"/>
        </w:rPr>
        <w:t>8</w:t>
      </w:r>
      <w:r>
        <w:rPr>
          <w:rFonts w:hint="eastAsia"/>
          <w:lang w:eastAsia="zh-CN"/>
        </w:rPr>
        <w:t>个月全国企业销售收入呈现四个亮点</w:t>
      </w:r>
    </w:p>
    <w:p w14:paraId="3D409541" w14:textId="77777777" w:rsidR="007F77F7" w:rsidRDefault="00000000">
      <w:pPr>
        <w:spacing w:line="360" w:lineRule="auto"/>
        <w:ind w:firstLine="560"/>
        <w:rPr>
          <w:lang w:eastAsia="zh-CN"/>
        </w:rPr>
      </w:pPr>
      <w:r>
        <w:rPr>
          <w:rFonts w:hint="eastAsia"/>
          <w:lang w:eastAsia="zh-CN"/>
        </w:rPr>
        <w:t>新华社北京</w:t>
      </w:r>
      <w:r>
        <w:rPr>
          <w:rFonts w:hint="eastAsia"/>
          <w:lang w:eastAsia="zh-CN"/>
        </w:rPr>
        <w:t>9</w:t>
      </w:r>
      <w:r>
        <w:rPr>
          <w:rFonts w:hint="eastAsia"/>
          <w:lang w:eastAsia="zh-CN"/>
        </w:rPr>
        <w:t>月</w:t>
      </w:r>
      <w:r>
        <w:rPr>
          <w:rFonts w:hint="eastAsia"/>
          <w:lang w:eastAsia="zh-CN"/>
        </w:rPr>
        <w:t>21</w:t>
      </w:r>
      <w:r>
        <w:rPr>
          <w:rFonts w:hint="eastAsia"/>
          <w:lang w:eastAsia="zh-CN"/>
        </w:rPr>
        <w:t>日电（记者</w:t>
      </w:r>
      <w:r>
        <w:rPr>
          <w:rFonts w:hint="eastAsia"/>
          <w:lang w:eastAsia="zh-CN"/>
        </w:rPr>
        <w:t xml:space="preserve"> </w:t>
      </w:r>
      <w:r>
        <w:rPr>
          <w:rFonts w:hint="eastAsia"/>
          <w:lang w:eastAsia="zh-CN"/>
        </w:rPr>
        <w:t>刘开雄）记者</w:t>
      </w:r>
      <w:r>
        <w:rPr>
          <w:rFonts w:hint="eastAsia"/>
          <w:lang w:eastAsia="zh-CN"/>
        </w:rPr>
        <w:t>9</w:t>
      </w:r>
      <w:r>
        <w:rPr>
          <w:rFonts w:hint="eastAsia"/>
          <w:lang w:eastAsia="zh-CN"/>
        </w:rPr>
        <w:t>月</w:t>
      </w:r>
      <w:r>
        <w:rPr>
          <w:rFonts w:hint="eastAsia"/>
          <w:lang w:eastAsia="zh-CN"/>
        </w:rPr>
        <w:t>21</w:t>
      </w:r>
      <w:r>
        <w:rPr>
          <w:rFonts w:hint="eastAsia"/>
          <w:lang w:eastAsia="zh-CN"/>
        </w:rPr>
        <w:t>日从国家税务总局了解到，从最新发票数据看，今年前</w:t>
      </w:r>
      <w:r>
        <w:rPr>
          <w:rFonts w:hint="eastAsia"/>
          <w:lang w:eastAsia="zh-CN"/>
        </w:rPr>
        <w:t>8</w:t>
      </w:r>
      <w:r>
        <w:rPr>
          <w:rFonts w:hint="eastAsia"/>
          <w:lang w:eastAsia="zh-CN"/>
        </w:rPr>
        <w:t>个月，全国企业销售收入呈现四个亮点。</w:t>
      </w:r>
    </w:p>
    <w:p w14:paraId="71AAB753" w14:textId="77777777" w:rsidR="007F77F7" w:rsidRDefault="00000000">
      <w:pPr>
        <w:spacing w:line="360" w:lineRule="auto"/>
        <w:ind w:firstLine="560"/>
        <w:rPr>
          <w:lang w:eastAsia="zh-CN"/>
        </w:rPr>
      </w:pPr>
      <w:r>
        <w:rPr>
          <w:rFonts w:hint="eastAsia"/>
          <w:lang w:eastAsia="zh-CN"/>
        </w:rPr>
        <w:t>工业经济稳中有进。前</w:t>
      </w:r>
      <w:r>
        <w:rPr>
          <w:rFonts w:hint="eastAsia"/>
          <w:lang w:eastAsia="zh-CN"/>
        </w:rPr>
        <w:t>8</w:t>
      </w:r>
      <w:r>
        <w:rPr>
          <w:rFonts w:hint="eastAsia"/>
          <w:lang w:eastAsia="zh-CN"/>
        </w:rPr>
        <w:t>个月，工业销售收入同比增长</w:t>
      </w:r>
      <w:r>
        <w:rPr>
          <w:rFonts w:hint="eastAsia"/>
          <w:lang w:eastAsia="zh-CN"/>
        </w:rPr>
        <w:t>7.3%</w:t>
      </w:r>
      <w:r>
        <w:rPr>
          <w:rFonts w:hint="eastAsia"/>
          <w:lang w:eastAsia="zh-CN"/>
        </w:rPr>
        <w:t>，其中采矿业、制造业、电力热力燃气及水生产和供应业销售收入同比分别增长</w:t>
      </w:r>
      <w:r>
        <w:rPr>
          <w:rFonts w:hint="eastAsia"/>
          <w:lang w:eastAsia="zh-CN"/>
        </w:rPr>
        <w:t>8.3%</w:t>
      </w:r>
      <w:r>
        <w:rPr>
          <w:rFonts w:hint="eastAsia"/>
          <w:lang w:eastAsia="zh-CN"/>
        </w:rPr>
        <w:t>、</w:t>
      </w:r>
      <w:r>
        <w:rPr>
          <w:rFonts w:hint="eastAsia"/>
          <w:lang w:eastAsia="zh-CN"/>
        </w:rPr>
        <w:t>7.5%</w:t>
      </w:r>
      <w:r>
        <w:rPr>
          <w:rFonts w:hint="eastAsia"/>
          <w:lang w:eastAsia="zh-CN"/>
        </w:rPr>
        <w:t>和</w:t>
      </w:r>
      <w:r>
        <w:rPr>
          <w:rFonts w:hint="eastAsia"/>
          <w:lang w:eastAsia="zh-CN"/>
        </w:rPr>
        <w:t>5%</w:t>
      </w:r>
      <w:r>
        <w:rPr>
          <w:rFonts w:hint="eastAsia"/>
          <w:lang w:eastAsia="zh-CN"/>
        </w:rPr>
        <w:t>，均保持较快增长态势。装备制造业销售收入同比增长</w:t>
      </w:r>
      <w:r>
        <w:rPr>
          <w:rFonts w:hint="eastAsia"/>
          <w:lang w:eastAsia="zh-CN"/>
        </w:rPr>
        <w:t>10.1%</w:t>
      </w:r>
      <w:r>
        <w:rPr>
          <w:rFonts w:hint="eastAsia"/>
          <w:lang w:eastAsia="zh-CN"/>
        </w:rPr>
        <w:t>，特别是计算机通信设备制造、电气机械器材制造、仪器仪表制造业销售收入同比分别增长</w:t>
      </w:r>
      <w:r>
        <w:rPr>
          <w:rFonts w:hint="eastAsia"/>
          <w:lang w:eastAsia="zh-CN"/>
        </w:rPr>
        <w:t>18.8%</w:t>
      </w:r>
      <w:r>
        <w:rPr>
          <w:rFonts w:hint="eastAsia"/>
          <w:lang w:eastAsia="zh-CN"/>
        </w:rPr>
        <w:t>、</w:t>
      </w:r>
      <w:r>
        <w:rPr>
          <w:rFonts w:hint="eastAsia"/>
          <w:lang w:eastAsia="zh-CN"/>
        </w:rPr>
        <w:t>14%</w:t>
      </w:r>
      <w:r>
        <w:rPr>
          <w:rFonts w:hint="eastAsia"/>
          <w:lang w:eastAsia="zh-CN"/>
        </w:rPr>
        <w:t>和</w:t>
      </w:r>
      <w:r>
        <w:rPr>
          <w:rFonts w:hint="eastAsia"/>
          <w:lang w:eastAsia="zh-CN"/>
        </w:rPr>
        <w:t>14.1%</w:t>
      </w:r>
      <w:r>
        <w:rPr>
          <w:rFonts w:hint="eastAsia"/>
          <w:lang w:eastAsia="zh-CN"/>
        </w:rPr>
        <w:t>。</w:t>
      </w:r>
    </w:p>
    <w:p w14:paraId="3D47EDC1" w14:textId="77777777" w:rsidR="007F77F7" w:rsidRDefault="00000000">
      <w:pPr>
        <w:spacing w:line="360" w:lineRule="auto"/>
        <w:ind w:firstLine="560"/>
        <w:rPr>
          <w:lang w:eastAsia="zh-CN"/>
        </w:rPr>
      </w:pPr>
      <w:r>
        <w:rPr>
          <w:rFonts w:hint="eastAsia"/>
          <w:lang w:eastAsia="zh-CN"/>
        </w:rPr>
        <w:t>新质生产力加快培育。前</w:t>
      </w:r>
      <w:r>
        <w:rPr>
          <w:rFonts w:hint="eastAsia"/>
          <w:lang w:eastAsia="zh-CN"/>
        </w:rPr>
        <w:t>8</w:t>
      </w:r>
      <w:r>
        <w:rPr>
          <w:rFonts w:hint="eastAsia"/>
          <w:lang w:eastAsia="zh-CN"/>
        </w:rPr>
        <w:t>个月，高技术产业销售收入同比增长</w:t>
      </w:r>
      <w:r>
        <w:rPr>
          <w:rFonts w:hint="eastAsia"/>
          <w:lang w:eastAsia="zh-CN"/>
        </w:rPr>
        <w:t>15.7%</w:t>
      </w:r>
      <w:r>
        <w:rPr>
          <w:rFonts w:hint="eastAsia"/>
          <w:lang w:eastAsia="zh-CN"/>
        </w:rPr>
        <w:t>。其中，高技术制造业销售收入同比增长</w:t>
      </w:r>
      <w:r>
        <w:rPr>
          <w:rFonts w:hint="eastAsia"/>
          <w:lang w:eastAsia="zh-CN"/>
        </w:rPr>
        <w:t>18.9%</w:t>
      </w:r>
      <w:r>
        <w:rPr>
          <w:rFonts w:hint="eastAsia"/>
          <w:lang w:eastAsia="zh-CN"/>
        </w:rPr>
        <w:t>，特别是与人工智能相关的集成电路、智能车载设备等行业销售收入同比分别增长</w:t>
      </w:r>
      <w:r>
        <w:rPr>
          <w:rFonts w:hint="eastAsia"/>
          <w:lang w:eastAsia="zh-CN"/>
        </w:rPr>
        <w:t>67.7%</w:t>
      </w:r>
      <w:r>
        <w:rPr>
          <w:rFonts w:hint="eastAsia"/>
          <w:lang w:eastAsia="zh-CN"/>
        </w:rPr>
        <w:t>和</w:t>
      </w:r>
      <w:r>
        <w:rPr>
          <w:rFonts w:hint="eastAsia"/>
          <w:lang w:eastAsia="zh-CN"/>
        </w:rPr>
        <w:t>38.8%</w:t>
      </w:r>
      <w:r>
        <w:rPr>
          <w:rFonts w:hint="eastAsia"/>
          <w:lang w:eastAsia="zh-CN"/>
        </w:rPr>
        <w:t>。</w:t>
      </w:r>
    </w:p>
    <w:p w14:paraId="0B78CFAC" w14:textId="77777777" w:rsidR="007F77F7" w:rsidRDefault="00000000">
      <w:pPr>
        <w:spacing w:line="360" w:lineRule="auto"/>
        <w:ind w:firstLine="560"/>
        <w:rPr>
          <w:lang w:eastAsia="zh-CN"/>
        </w:rPr>
      </w:pPr>
      <w:r>
        <w:rPr>
          <w:rFonts w:hint="eastAsia"/>
          <w:lang w:eastAsia="zh-CN"/>
        </w:rPr>
        <w:lastRenderedPageBreak/>
        <w:t>数实融合持续深化。前</w:t>
      </w:r>
      <w:r>
        <w:rPr>
          <w:rFonts w:hint="eastAsia"/>
          <w:lang w:eastAsia="zh-CN"/>
        </w:rPr>
        <w:t>8</w:t>
      </w:r>
      <w:r>
        <w:rPr>
          <w:rFonts w:hint="eastAsia"/>
          <w:lang w:eastAsia="zh-CN"/>
        </w:rPr>
        <w:t>个月，数字经济核心产业销售收入同比增长</w:t>
      </w:r>
      <w:r>
        <w:rPr>
          <w:rFonts w:hint="eastAsia"/>
          <w:lang w:eastAsia="zh-CN"/>
        </w:rPr>
        <w:t>9%</w:t>
      </w:r>
      <w:r>
        <w:rPr>
          <w:rFonts w:hint="eastAsia"/>
          <w:lang w:eastAsia="zh-CN"/>
        </w:rPr>
        <w:t>，其中数字产品制造业、数字产品服务业销售收入同比分别增长</w:t>
      </w:r>
      <w:r>
        <w:rPr>
          <w:rFonts w:hint="eastAsia"/>
          <w:lang w:eastAsia="zh-CN"/>
        </w:rPr>
        <w:t>16.6%</w:t>
      </w:r>
      <w:r>
        <w:rPr>
          <w:rFonts w:hint="eastAsia"/>
          <w:lang w:eastAsia="zh-CN"/>
        </w:rPr>
        <w:t>和</w:t>
      </w:r>
      <w:r>
        <w:rPr>
          <w:rFonts w:hint="eastAsia"/>
          <w:lang w:eastAsia="zh-CN"/>
        </w:rPr>
        <w:t>11.1%</w:t>
      </w:r>
      <w:r>
        <w:rPr>
          <w:rFonts w:hint="eastAsia"/>
          <w:lang w:eastAsia="zh-CN"/>
        </w:rPr>
        <w:t>，反映数字产业化水平持续提升。全国企业采购数字技术金额同比增长</w:t>
      </w:r>
      <w:r>
        <w:rPr>
          <w:rFonts w:hint="eastAsia"/>
          <w:lang w:eastAsia="zh-CN"/>
        </w:rPr>
        <w:t>8.6%</w:t>
      </w:r>
      <w:r>
        <w:rPr>
          <w:rFonts w:hint="eastAsia"/>
          <w:lang w:eastAsia="zh-CN"/>
        </w:rPr>
        <w:t>，特别是制造业产业数字化转型投入力度加大，采购数字技术金额同比增长</w:t>
      </w:r>
      <w:r>
        <w:rPr>
          <w:rFonts w:hint="eastAsia"/>
          <w:lang w:eastAsia="zh-CN"/>
        </w:rPr>
        <w:t>17.1%</w:t>
      </w:r>
      <w:r>
        <w:rPr>
          <w:rFonts w:hint="eastAsia"/>
          <w:lang w:eastAsia="zh-CN"/>
        </w:rPr>
        <w:t>。</w:t>
      </w:r>
    </w:p>
    <w:p w14:paraId="34C3A2B2" w14:textId="77777777" w:rsidR="007F77F7" w:rsidRDefault="00000000">
      <w:pPr>
        <w:spacing w:line="360" w:lineRule="auto"/>
        <w:ind w:firstLine="560"/>
        <w:rPr>
          <w:lang w:eastAsia="zh-CN"/>
        </w:rPr>
      </w:pPr>
      <w:r>
        <w:rPr>
          <w:rFonts w:hint="eastAsia"/>
          <w:lang w:eastAsia="zh-CN"/>
        </w:rPr>
        <w:t>统一大市场建设持续推进。前</w:t>
      </w:r>
      <w:r>
        <w:rPr>
          <w:rFonts w:hint="eastAsia"/>
          <w:lang w:eastAsia="zh-CN"/>
        </w:rPr>
        <w:t>8</w:t>
      </w:r>
      <w:r>
        <w:rPr>
          <w:rFonts w:hint="eastAsia"/>
          <w:lang w:eastAsia="zh-CN"/>
        </w:rPr>
        <w:t>个月，全国省际贸易销售额占全部销售额的比重为</w:t>
      </w:r>
      <w:r>
        <w:rPr>
          <w:rFonts w:hint="eastAsia"/>
          <w:lang w:eastAsia="zh-CN"/>
        </w:rPr>
        <w:t>41.4%</w:t>
      </w:r>
      <w:r>
        <w:rPr>
          <w:rFonts w:hint="eastAsia"/>
          <w:lang w:eastAsia="zh-CN"/>
        </w:rPr>
        <w:t>，较去年同期提高</w:t>
      </w:r>
      <w:r>
        <w:rPr>
          <w:rFonts w:hint="eastAsia"/>
          <w:lang w:eastAsia="zh-CN"/>
        </w:rPr>
        <w:t>0.5</w:t>
      </w:r>
      <w:r>
        <w:rPr>
          <w:rFonts w:hint="eastAsia"/>
          <w:lang w:eastAsia="zh-CN"/>
        </w:rPr>
        <w:t>个百分点。交通运输物流业省际销售额同比增长</w:t>
      </w:r>
      <w:r>
        <w:rPr>
          <w:rFonts w:hint="eastAsia"/>
          <w:lang w:eastAsia="zh-CN"/>
        </w:rPr>
        <w:t>8.2%</w:t>
      </w:r>
      <w:r>
        <w:rPr>
          <w:rFonts w:hint="eastAsia"/>
          <w:lang w:eastAsia="zh-CN"/>
        </w:rPr>
        <w:t>，较行业总体增速快</w:t>
      </w:r>
      <w:r>
        <w:rPr>
          <w:rFonts w:hint="eastAsia"/>
          <w:lang w:eastAsia="zh-CN"/>
        </w:rPr>
        <w:t>1.2</w:t>
      </w:r>
      <w:r>
        <w:rPr>
          <w:rFonts w:hint="eastAsia"/>
          <w:lang w:eastAsia="zh-CN"/>
        </w:rPr>
        <w:t>个百分点。</w:t>
      </w:r>
    </w:p>
    <w:p w14:paraId="50455CC2" w14:textId="77777777" w:rsidR="007F77F7" w:rsidRDefault="00000000">
      <w:pPr>
        <w:spacing w:line="360" w:lineRule="auto"/>
        <w:ind w:firstLine="560"/>
        <w:rPr>
          <w:lang w:eastAsia="zh-CN"/>
        </w:rPr>
      </w:pPr>
      <w:r>
        <w:rPr>
          <w:rFonts w:hint="eastAsia"/>
          <w:lang w:eastAsia="zh-CN"/>
        </w:rPr>
        <w:t>国家税务总局有关司局负责人表示，多组发票数据反映出今年以来我国经济动能向新、结构向优的发展态势，税务部门将持续落实落细系列税费支持政策，增强发展动力、激发市场活力，推动经济向新向优向好发展，更好地实现质的有效提升和量的合理增长。</w:t>
      </w:r>
    </w:p>
    <w:p w14:paraId="10044D01" w14:textId="77777777" w:rsidR="007F77F7" w:rsidRDefault="00000000">
      <w:pPr>
        <w:spacing w:line="360" w:lineRule="auto"/>
        <w:ind w:firstLine="560"/>
        <w:rPr>
          <w:lang w:eastAsia="zh-CN"/>
        </w:rPr>
      </w:pPr>
      <w:r>
        <w:rPr>
          <w:rFonts w:hint="eastAsia"/>
          <w:lang w:eastAsia="zh-CN"/>
        </w:rPr>
        <w:t>提示：集成电路、智能车载设备、仪器仪表等高技术行业销售收入的快速增长，与集成电路企业所得税优惠、研发费用加计扣除、先进制造业增值税加计抵减、高新技术企业低税率等政策的高频适用直接相关。建议企业在积极享受相关优惠的同时，同步做好研发项目立项、辅助账设置和佐证资料留存，实现“业务增长”与“合规留痕”同步推进，避免因资料不完整在后续核查中产生争议。</w:t>
      </w:r>
    </w:p>
    <w:p w14:paraId="100AE0A1" w14:textId="77777777" w:rsidR="007F77F7" w:rsidRDefault="00000000">
      <w:pPr>
        <w:spacing w:line="360" w:lineRule="auto"/>
        <w:ind w:firstLine="560"/>
        <w:jc w:val="left"/>
        <w:rPr>
          <w:lang w:eastAsia="zh-CN"/>
        </w:rPr>
      </w:pPr>
      <w:r>
        <w:rPr>
          <w:rFonts w:hint="eastAsia"/>
          <w:lang w:eastAsia="zh-CN"/>
        </w:rPr>
        <w:t>信息来源：新华社</w:t>
      </w:r>
    </w:p>
    <w:p w14:paraId="0C583BFC" w14:textId="77777777" w:rsidR="007F77F7" w:rsidRDefault="00000000">
      <w:pPr>
        <w:spacing w:line="360" w:lineRule="auto"/>
        <w:ind w:firstLine="560"/>
        <w:jc w:val="left"/>
        <w:rPr>
          <w:lang w:eastAsia="zh-CN"/>
        </w:rPr>
      </w:pPr>
      <w:r>
        <w:rPr>
          <w:rFonts w:hint="eastAsia"/>
          <w:lang w:eastAsia="zh-CN"/>
        </w:rPr>
        <w:t>时间：</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21</w:t>
      </w:r>
      <w:r>
        <w:rPr>
          <w:rFonts w:hint="eastAsia"/>
          <w:lang w:eastAsia="zh-CN"/>
        </w:rPr>
        <w:t>日</w:t>
      </w:r>
    </w:p>
    <w:p w14:paraId="3001EE91" w14:textId="77777777" w:rsidR="007F77F7" w:rsidRDefault="00000000">
      <w:pPr>
        <w:spacing w:line="360" w:lineRule="auto"/>
        <w:ind w:firstLine="560"/>
        <w:rPr>
          <w:lang w:eastAsia="zh-CN"/>
        </w:rPr>
      </w:pPr>
      <w:r>
        <w:rPr>
          <w:rFonts w:hint="eastAsia"/>
          <w:lang w:eastAsia="zh-CN"/>
        </w:rPr>
        <w:t>链接：</w:t>
      </w:r>
      <w:r>
        <w:rPr>
          <w:rFonts w:hint="eastAsia"/>
          <w:lang w:eastAsia="zh-CN"/>
        </w:rPr>
        <w:t>https://www.gov.cn/lianbo/202609/content_7081714.htm</w:t>
      </w:r>
    </w:p>
    <w:p w14:paraId="5529F71B" w14:textId="77777777" w:rsidR="007F77F7" w:rsidRDefault="00000000">
      <w:pPr>
        <w:pStyle w:val="2"/>
        <w:spacing w:before="140" w:after="140" w:line="360" w:lineRule="auto"/>
        <w:ind w:firstLine="600"/>
        <w:rPr>
          <w:lang w:eastAsia="zh-CN"/>
        </w:rPr>
      </w:pPr>
      <w:r>
        <w:rPr>
          <w:rFonts w:hint="eastAsia"/>
          <w:lang w:eastAsia="zh-CN"/>
        </w:rPr>
        <w:t>（三）今年前</w:t>
      </w:r>
      <w:r>
        <w:rPr>
          <w:rFonts w:hint="eastAsia"/>
          <w:lang w:eastAsia="zh-CN"/>
        </w:rPr>
        <w:t>8</w:t>
      </w:r>
      <w:r>
        <w:rPr>
          <w:rFonts w:hint="eastAsia"/>
          <w:lang w:eastAsia="zh-CN"/>
        </w:rPr>
        <w:t>个月全国统一大市场建设稳步推进</w:t>
      </w:r>
      <w:r>
        <w:rPr>
          <w:rFonts w:hint="eastAsia"/>
          <w:lang w:eastAsia="zh-CN"/>
        </w:rPr>
        <w:t xml:space="preserve"> </w:t>
      </w:r>
      <w:r>
        <w:rPr>
          <w:rFonts w:hint="eastAsia"/>
          <w:lang w:eastAsia="zh-CN"/>
        </w:rPr>
        <w:t>省际贸易销售额稳步增长</w:t>
      </w:r>
    </w:p>
    <w:p w14:paraId="45F9BD1F" w14:textId="77777777" w:rsidR="007F77F7" w:rsidRDefault="00000000">
      <w:pPr>
        <w:spacing w:line="360" w:lineRule="auto"/>
        <w:ind w:firstLine="560"/>
        <w:rPr>
          <w:lang w:eastAsia="zh-CN"/>
        </w:rPr>
      </w:pPr>
      <w:r>
        <w:rPr>
          <w:rFonts w:hint="eastAsia"/>
          <w:lang w:eastAsia="zh-CN"/>
        </w:rPr>
        <w:t>国家税务总局最新发票数据显示，今年前</w:t>
      </w:r>
      <w:r>
        <w:rPr>
          <w:rFonts w:hint="eastAsia"/>
          <w:lang w:eastAsia="zh-CN"/>
        </w:rPr>
        <w:t>8</w:t>
      </w:r>
      <w:r>
        <w:rPr>
          <w:rFonts w:hint="eastAsia"/>
          <w:lang w:eastAsia="zh-CN"/>
        </w:rPr>
        <w:t>个月，全国省际贸易销售额同比增长</w:t>
      </w:r>
      <w:r>
        <w:rPr>
          <w:rFonts w:hint="eastAsia"/>
          <w:lang w:eastAsia="zh-CN"/>
        </w:rPr>
        <w:t>1.3%</w:t>
      </w:r>
      <w:r>
        <w:rPr>
          <w:rFonts w:hint="eastAsia"/>
          <w:lang w:eastAsia="zh-CN"/>
        </w:rPr>
        <w:t>，占全部销售额的比重为</w:t>
      </w:r>
      <w:r>
        <w:rPr>
          <w:rFonts w:hint="eastAsia"/>
          <w:lang w:eastAsia="zh-CN"/>
        </w:rPr>
        <w:t>41.4%</w:t>
      </w:r>
      <w:r>
        <w:rPr>
          <w:rFonts w:hint="eastAsia"/>
          <w:lang w:eastAsia="zh-CN"/>
        </w:rPr>
        <w:t>，较去年同期提高</w:t>
      </w:r>
      <w:r>
        <w:rPr>
          <w:rFonts w:hint="eastAsia"/>
          <w:lang w:eastAsia="zh-CN"/>
        </w:rPr>
        <w:t>0.5</w:t>
      </w:r>
      <w:r>
        <w:rPr>
          <w:rFonts w:hint="eastAsia"/>
          <w:lang w:eastAsia="zh-CN"/>
        </w:rPr>
        <w:t>个</w:t>
      </w:r>
      <w:r>
        <w:rPr>
          <w:rFonts w:hint="eastAsia"/>
          <w:lang w:eastAsia="zh-CN"/>
        </w:rPr>
        <w:lastRenderedPageBreak/>
        <w:t>百分点。全国</w:t>
      </w:r>
      <w:r>
        <w:rPr>
          <w:rFonts w:hint="eastAsia"/>
          <w:lang w:eastAsia="zh-CN"/>
        </w:rPr>
        <w:t>31</w:t>
      </w:r>
      <w:r>
        <w:rPr>
          <w:rFonts w:hint="eastAsia"/>
          <w:lang w:eastAsia="zh-CN"/>
        </w:rPr>
        <w:t>个省份中，有</w:t>
      </w:r>
      <w:r>
        <w:rPr>
          <w:rFonts w:hint="eastAsia"/>
          <w:lang w:eastAsia="zh-CN"/>
        </w:rPr>
        <w:t>20</w:t>
      </w:r>
      <w:r>
        <w:rPr>
          <w:rFonts w:hint="eastAsia"/>
          <w:lang w:eastAsia="zh-CN"/>
        </w:rPr>
        <w:t>个省份省际销售额增速同比正增长，增长面达</w:t>
      </w:r>
      <w:r>
        <w:rPr>
          <w:rFonts w:hint="eastAsia"/>
          <w:lang w:eastAsia="zh-CN"/>
        </w:rPr>
        <w:t>64.5%</w:t>
      </w:r>
      <w:r>
        <w:rPr>
          <w:rFonts w:hint="eastAsia"/>
          <w:lang w:eastAsia="zh-CN"/>
        </w:rPr>
        <w:t>。</w:t>
      </w:r>
    </w:p>
    <w:p w14:paraId="18D920D6" w14:textId="77777777" w:rsidR="007F77F7" w:rsidRDefault="00000000">
      <w:pPr>
        <w:spacing w:line="360" w:lineRule="auto"/>
        <w:ind w:firstLine="560"/>
        <w:rPr>
          <w:lang w:eastAsia="zh-CN"/>
        </w:rPr>
      </w:pPr>
      <w:r>
        <w:rPr>
          <w:rFonts w:hint="eastAsia"/>
          <w:lang w:eastAsia="zh-CN"/>
        </w:rPr>
        <w:t>重点区域的区域外销售额增速较快。前</w:t>
      </w:r>
      <w:r>
        <w:rPr>
          <w:rFonts w:hint="eastAsia"/>
          <w:lang w:eastAsia="zh-CN"/>
        </w:rPr>
        <w:t>8</w:t>
      </w:r>
      <w:r>
        <w:rPr>
          <w:rFonts w:hint="eastAsia"/>
          <w:lang w:eastAsia="zh-CN"/>
        </w:rPr>
        <w:t>个月，京津冀、长三角地区的区域外销售额同比分别增长</w:t>
      </w:r>
      <w:r>
        <w:rPr>
          <w:rFonts w:hint="eastAsia"/>
          <w:lang w:eastAsia="zh-CN"/>
        </w:rPr>
        <w:t>1.6%</w:t>
      </w:r>
      <w:r>
        <w:rPr>
          <w:rFonts w:hint="eastAsia"/>
          <w:lang w:eastAsia="zh-CN"/>
        </w:rPr>
        <w:t>和</w:t>
      </w:r>
      <w:r>
        <w:rPr>
          <w:rFonts w:hint="eastAsia"/>
          <w:lang w:eastAsia="zh-CN"/>
        </w:rPr>
        <w:t>1.8%</w:t>
      </w:r>
      <w:r>
        <w:rPr>
          <w:rFonts w:hint="eastAsia"/>
          <w:lang w:eastAsia="zh-CN"/>
        </w:rPr>
        <w:t>，区域协同发展的带动效应进一步显现。</w:t>
      </w:r>
    </w:p>
    <w:p w14:paraId="5CCD6BA9" w14:textId="77777777" w:rsidR="007F77F7" w:rsidRDefault="00000000">
      <w:pPr>
        <w:spacing w:line="360" w:lineRule="auto"/>
        <w:ind w:firstLine="560"/>
        <w:rPr>
          <w:lang w:eastAsia="zh-CN"/>
        </w:rPr>
      </w:pPr>
      <w:r>
        <w:rPr>
          <w:rFonts w:hint="eastAsia"/>
          <w:lang w:eastAsia="zh-CN"/>
        </w:rPr>
        <w:t>交通物流和信息服务跨省稳步增长，推动跨区域交易成本持续降低。前</w:t>
      </w:r>
      <w:r>
        <w:rPr>
          <w:rFonts w:hint="eastAsia"/>
          <w:lang w:eastAsia="zh-CN"/>
        </w:rPr>
        <w:t>8</w:t>
      </w:r>
      <w:r>
        <w:rPr>
          <w:rFonts w:hint="eastAsia"/>
          <w:lang w:eastAsia="zh-CN"/>
        </w:rPr>
        <w:t>个月，交通运输仓储和邮政业省际销售额同比增长</w:t>
      </w:r>
      <w:r>
        <w:rPr>
          <w:rFonts w:hint="eastAsia"/>
          <w:lang w:eastAsia="zh-CN"/>
        </w:rPr>
        <w:t>8.2%</w:t>
      </w:r>
      <w:r>
        <w:rPr>
          <w:rFonts w:hint="eastAsia"/>
          <w:lang w:eastAsia="zh-CN"/>
        </w:rPr>
        <w:t>，特别是多式联运省际销售额同比增长</w:t>
      </w:r>
      <w:r>
        <w:rPr>
          <w:rFonts w:hint="eastAsia"/>
          <w:lang w:eastAsia="zh-CN"/>
        </w:rPr>
        <w:t>9.5%</w:t>
      </w:r>
      <w:r>
        <w:rPr>
          <w:rFonts w:hint="eastAsia"/>
          <w:lang w:eastAsia="zh-CN"/>
        </w:rPr>
        <w:t>，新模式新业态运输承载能力逐步增强；全国信息服务省际销售额同比增长</w:t>
      </w:r>
      <w:r>
        <w:rPr>
          <w:rFonts w:hint="eastAsia"/>
          <w:lang w:eastAsia="zh-CN"/>
        </w:rPr>
        <w:t>41.1%</w:t>
      </w:r>
      <w:r>
        <w:rPr>
          <w:rFonts w:hint="eastAsia"/>
          <w:lang w:eastAsia="zh-CN"/>
        </w:rPr>
        <w:t>，跨省信息互通加快发展。</w:t>
      </w:r>
    </w:p>
    <w:p w14:paraId="4FA81BE5" w14:textId="77777777" w:rsidR="007F77F7" w:rsidRDefault="00000000">
      <w:pPr>
        <w:spacing w:line="360" w:lineRule="auto"/>
        <w:ind w:firstLine="560"/>
        <w:rPr>
          <w:lang w:eastAsia="zh-CN"/>
        </w:rPr>
      </w:pPr>
      <w:r>
        <w:rPr>
          <w:rFonts w:hint="eastAsia"/>
          <w:lang w:eastAsia="zh-CN"/>
        </w:rPr>
        <w:t>跨省异地销售稳步增长，先进制造业省际流动加快。前</w:t>
      </w:r>
      <w:r>
        <w:rPr>
          <w:rFonts w:hint="eastAsia"/>
          <w:lang w:eastAsia="zh-CN"/>
        </w:rPr>
        <w:t>8</w:t>
      </w:r>
      <w:r>
        <w:rPr>
          <w:rFonts w:hint="eastAsia"/>
          <w:lang w:eastAsia="zh-CN"/>
        </w:rPr>
        <w:t>个月，全国跨省异地销售的涉税经营主体户数同比增长</w:t>
      </w:r>
      <w:r>
        <w:rPr>
          <w:rFonts w:hint="eastAsia"/>
          <w:lang w:eastAsia="zh-CN"/>
        </w:rPr>
        <w:t>10.7%</w:t>
      </w:r>
      <w:r>
        <w:rPr>
          <w:rFonts w:hint="eastAsia"/>
          <w:lang w:eastAsia="zh-CN"/>
        </w:rPr>
        <w:t>，占发生销售行为户数的比重为</w:t>
      </w:r>
      <w:r>
        <w:rPr>
          <w:rFonts w:hint="eastAsia"/>
          <w:lang w:eastAsia="zh-CN"/>
        </w:rPr>
        <w:t>56.5%</w:t>
      </w:r>
      <w:r>
        <w:rPr>
          <w:rFonts w:hint="eastAsia"/>
          <w:lang w:eastAsia="zh-CN"/>
        </w:rPr>
        <w:t>，较上年同期提高</w:t>
      </w:r>
      <w:r>
        <w:rPr>
          <w:rFonts w:hint="eastAsia"/>
          <w:lang w:eastAsia="zh-CN"/>
        </w:rPr>
        <w:t>1.9</w:t>
      </w:r>
      <w:r>
        <w:rPr>
          <w:rFonts w:hint="eastAsia"/>
          <w:lang w:eastAsia="zh-CN"/>
        </w:rPr>
        <w:t>个百分点。集成电路、锂离子电池、智能车载、电子专用材料等先进制造领域省际销售额同比分别增长</w:t>
      </w:r>
      <w:r>
        <w:rPr>
          <w:rFonts w:hint="eastAsia"/>
          <w:lang w:eastAsia="zh-CN"/>
        </w:rPr>
        <w:t>59.3%</w:t>
      </w:r>
      <w:r>
        <w:rPr>
          <w:rFonts w:hint="eastAsia"/>
          <w:lang w:eastAsia="zh-CN"/>
        </w:rPr>
        <w:t>、</w:t>
      </w:r>
      <w:r>
        <w:rPr>
          <w:rFonts w:hint="eastAsia"/>
          <w:lang w:eastAsia="zh-CN"/>
        </w:rPr>
        <w:t>59.7%</w:t>
      </w:r>
      <w:r>
        <w:rPr>
          <w:rFonts w:hint="eastAsia"/>
          <w:lang w:eastAsia="zh-CN"/>
        </w:rPr>
        <w:t>、</w:t>
      </w:r>
      <w:r>
        <w:rPr>
          <w:rFonts w:hint="eastAsia"/>
          <w:lang w:eastAsia="zh-CN"/>
        </w:rPr>
        <w:t>39%</w:t>
      </w:r>
      <w:r>
        <w:rPr>
          <w:rFonts w:hint="eastAsia"/>
          <w:lang w:eastAsia="zh-CN"/>
        </w:rPr>
        <w:t>和</w:t>
      </w:r>
      <w:r>
        <w:rPr>
          <w:rFonts w:hint="eastAsia"/>
          <w:lang w:eastAsia="zh-CN"/>
        </w:rPr>
        <w:t>74.3%</w:t>
      </w:r>
      <w:r>
        <w:rPr>
          <w:rFonts w:hint="eastAsia"/>
          <w:lang w:eastAsia="zh-CN"/>
        </w:rPr>
        <w:t>，积极参与国内大循环。</w:t>
      </w:r>
    </w:p>
    <w:p w14:paraId="7F42F070" w14:textId="77777777" w:rsidR="007F77F7" w:rsidRDefault="00000000">
      <w:pPr>
        <w:spacing w:line="360" w:lineRule="auto"/>
        <w:ind w:firstLine="560"/>
        <w:rPr>
          <w:lang w:eastAsia="zh-CN"/>
        </w:rPr>
      </w:pPr>
      <w:r>
        <w:rPr>
          <w:rFonts w:hint="eastAsia"/>
          <w:lang w:eastAsia="zh-CN"/>
        </w:rPr>
        <w:t>提示：跨省经营企业应当重点关注异地销售、跨区域迁移中的纳税地点认定与发票开具合规问题。随着增值税法及其实施条例施行，境内应税交易判定标准、跨区域涉税事项办理流程均有调整，税务部门亦持续清理违规招商引资涉税文件，异地注册、财政奖补与税收返还等安排的合规空间进一步收窄。建议企业将纳税地点、总分机构汇总纳税、发票流与货物流一致性等事项纳入商业模式前置评估，并在合同条款中予以明确。</w:t>
      </w:r>
    </w:p>
    <w:p w14:paraId="460EE722" w14:textId="77777777" w:rsidR="007F77F7" w:rsidRDefault="00000000">
      <w:pPr>
        <w:spacing w:line="360" w:lineRule="auto"/>
        <w:ind w:firstLine="560"/>
        <w:jc w:val="left"/>
        <w:rPr>
          <w:lang w:eastAsia="zh-CN"/>
        </w:rPr>
      </w:pPr>
      <w:r>
        <w:rPr>
          <w:rFonts w:hint="eastAsia"/>
          <w:lang w:eastAsia="zh-CN"/>
        </w:rPr>
        <w:t>信息来源：国家税务总局</w:t>
      </w:r>
    </w:p>
    <w:p w14:paraId="44C5D34D" w14:textId="77777777" w:rsidR="007F77F7" w:rsidRDefault="00000000">
      <w:pPr>
        <w:spacing w:line="360" w:lineRule="auto"/>
        <w:ind w:firstLine="560"/>
        <w:jc w:val="left"/>
        <w:rPr>
          <w:lang w:eastAsia="zh-CN"/>
        </w:rPr>
      </w:pPr>
      <w:r>
        <w:rPr>
          <w:rFonts w:hint="eastAsia"/>
          <w:lang w:eastAsia="zh-CN"/>
        </w:rPr>
        <w:t>时间：</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23</w:t>
      </w:r>
      <w:r>
        <w:rPr>
          <w:rFonts w:hint="eastAsia"/>
          <w:lang w:eastAsia="zh-CN"/>
        </w:rPr>
        <w:t>日</w:t>
      </w:r>
    </w:p>
    <w:p w14:paraId="7448038A" w14:textId="77777777" w:rsidR="007F77F7" w:rsidRDefault="00000000">
      <w:pPr>
        <w:spacing w:line="360" w:lineRule="auto"/>
        <w:ind w:firstLine="560"/>
        <w:rPr>
          <w:lang w:eastAsia="zh-CN"/>
        </w:rPr>
      </w:pPr>
      <w:r>
        <w:rPr>
          <w:rFonts w:hint="eastAsia"/>
          <w:lang w:eastAsia="zh-CN"/>
        </w:rPr>
        <w:t>链接：</w:t>
      </w:r>
      <w:r>
        <w:rPr>
          <w:rFonts w:hint="eastAsia"/>
          <w:lang w:eastAsia="zh-CN"/>
        </w:rPr>
        <w:t>https://www.chinatax.gov.cn/chinatax/n810219/n810724/c5252601/content.html</w:t>
      </w:r>
    </w:p>
    <w:p w14:paraId="09BCCBC8" w14:textId="77777777" w:rsidR="007F77F7" w:rsidRDefault="00000000">
      <w:pPr>
        <w:pStyle w:val="2"/>
        <w:spacing w:before="140" w:after="140" w:line="360" w:lineRule="auto"/>
        <w:ind w:firstLine="600"/>
        <w:rPr>
          <w:lang w:eastAsia="zh-CN"/>
        </w:rPr>
      </w:pPr>
      <w:r>
        <w:rPr>
          <w:rFonts w:hint="eastAsia"/>
          <w:lang w:eastAsia="zh-CN"/>
        </w:rPr>
        <w:lastRenderedPageBreak/>
        <w:t>（四）上半年</w:t>
      </w:r>
      <w:r>
        <w:rPr>
          <w:rFonts w:hint="eastAsia"/>
          <w:lang w:eastAsia="zh-CN"/>
        </w:rPr>
        <w:t>A</w:t>
      </w:r>
      <w:r>
        <w:rPr>
          <w:rFonts w:hint="eastAsia"/>
          <w:lang w:eastAsia="zh-CN"/>
        </w:rPr>
        <w:t>股上市公司税法遵从水平持续提升</w:t>
      </w:r>
      <w:r>
        <w:rPr>
          <w:rFonts w:hint="eastAsia"/>
          <w:lang w:eastAsia="zh-CN"/>
        </w:rPr>
        <w:t xml:space="preserve"> </w:t>
      </w:r>
      <w:r>
        <w:rPr>
          <w:rFonts w:hint="eastAsia"/>
          <w:lang w:eastAsia="zh-CN"/>
        </w:rPr>
        <w:t>超七成涉税公告系自查自纠补税</w:t>
      </w:r>
    </w:p>
    <w:p w14:paraId="2AE27ADE" w14:textId="77777777" w:rsidR="007F77F7" w:rsidRDefault="00000000">
      <w:pPr>
        <w:spacing w:line="360" w:lineRule="auto"/>
        <w:ind w:firstLine="560"/>
        <w:rPr>
          <w:lang w:eastAsia="zh-CN"/>
        </w:rPr>
      </w:pPr>
      <w:r>
        <w:rPr>
          <w:rFonts w:hint="eastAsia"/>
          <w:lang w:eastAsia="zh-CN"/>
        </w:rPr>
        <w:t>记者从国家税务总局获悉，从</w:t>
      </w:r>
      <w:r>
        <w:rPr>
          <w:rFonts w:hint="eastAsia"/>
          <w:lang w:eastAsia="zh-CN"/>
        </w:rPr>
        <w:t>A</w:t>
      </w:r>
      <w:r>
        <w:rPr>
          <w:rFonts w:hint="eastAsia"/>
          <w:lang w:eastAsia="zh-CN"/>
        </w:rPr>
        <w:t>股上市公司已经公开披露的数据看，</w:t>
      </w:r>
      <w:r>
        <w:rPr>
          <w:rFonts w:hint="eastAsia"/>
          <w:lang w:eastAsia="zh-CN"/>
        </w:rPr>
        <w:t>2026</w:t>
      </w:r>
      <w:r>
        <w:rPr>
          <w:rFonts w:hint="eastAsia"/>
          <w:lang w:eastAsia="zh-CN"/>
        </w:rPr>
        <w:t>年上半年，我国</w:t>
      </w:r>
      <w:r>
        <w:rPr>
          <w:rFonts w:hint="eastAsia"/>
          <w:lang w:eastAsia="zh-CN"/>
        </w:rPr>
        <w:t>A</w:t>
      </w:r>
      <w:r>
        <w:rPr>
          <w:rFonts w:hint="eastAsia"/>
          <w:lang w:eastAsia="zh-CN"/>
        </w:rPr>
        <w:t>股上市公司合规管理水平持续提升，税法遵从意识明显增强。</w:t>
      </w:r>
    </w:p>
    <w:p w14:paraId="4D906DDD" w14:textId="77777777" w:rsidR="007F77F7" w:rsidRDefault="00000000">
      <w:pPr>
        <w:spacing w:line="360" w:lineRule="auto"/>
        <w:ind w:firstLine="560"/>
        <w:rPr>
          <w:lang w:eastAsia="zh-CN"/>
        </w:rPr>
      </w:pPr>
      <w:r>
        <w:rPr>
          <w:rFonts w:hint="eastAsia"/>
          <w:lang w:eastAsia="zh-CN"/>
        </w:rPr>
        <w:t>据中国上市公司协会发布的境内股票市场上市公司</w:t>
      </w:r>
      <w:r>
        <w:rPr>
          <w:rFonts w:hint="eastAsia"/>
          <w:lang w:eastAsia="zh-CN"/>
        </w:rPr>
        <w:t>2026</w:t>
      </w:r>
      <w:r>
        <w:rPr>
          <w:rFonts w:hint="eastAsia"/>
          <w:lang w:eastAsia="zh-CN"/>
        </w:rPr>
        <w:t>年半年度经营业绩报告，上半年，全市场上市公司实现营业收入</w:t>
      </w:r>
      <w:r>
        <w:rPr>
          <w:rFonts w:hint="eastAsia"/>
          <w:lang w:eastAsia="zh-CN"/>
        </w:rPr>
        <w:t>37.76</w:t>
      </w:r>
      <w:r>
        <w:rPr>
          <w:rFonts w:hint="eastAsia"/>
          <w:lang w:eastAsia="zh-CN"/>
        </w:rPr>
        <w:t>万亿元，同比增长</w:t>
      </w:r>
      <w:r>
        <w:rPr>
          <w:rFonts w:hint="eastAsia"/>
          <w:lang w:eastAsia="zh-CN"/>
        </w:rPr>
        <w:t>7.6%</w:t>
      </w:r>
      <w:r>
        <w:rPr>
          <w:rFonts w:hint="eastAsia"/>
          <w:lang w:eastAsia="zh-CN"/>
        </w:rPr>
        <w:t>，增速保持平稳；实现净利润</w:t>
      </w:r>
      <w:r>
        <w:rPr>
          <w:rFonts w:hint="eastAsia"/>
          <w:lang w:eastAsia="zh-CN"/>
        </w:rPr>
        <w:t>3.58</w:t>
      </w:r>
      <w:r>
        <w:rPr>
          <w:rFonts w:hint="eastAsia"/>
          <w:lang w:eastAsia="zh-CN"/>
        </w:rPr>
        <w:t>万亿元，同比增长</w:t>
      </w:r>
      <w:r>
        <w:rPr>
          <w:rFonts w:hint="eastAsia"/>
          <w:lang w:eastAsia="zh-CN"/>
        </w:rPr>
        <w:t>19.5%</w:t>
      </w:r>
      <w:r>
        <w:rPr>
          <w:rFonts w:hint="eastAsia"/>
          <w:lang w:eastAsia="zh-CN"/>
        </w:rPr>
        <w:t>，增速较上年全年提升</w:t>
      </w:r>
      <w:r>
        <w:rPr>
          <w:rFonts w:hint="eastAsia"/>
          <w:lang w:eastAsia="zh-CN"/>
        </w:rPr>
        <w:t>16.7</w:t>
      </w:r>
      <w:r>
        <w:rPr>
          <w:rFonts w:hint="eastAsia"/>
          <w:lang w:eastAsia="zh-CN"/>
        </w:rPr>
        <w:t>个百分点。</w:t>
      </w:r>
    </w:p>
    <w:p w14:paraId="38D3A19C" w14:textId="77777777" w:rsidR="007F77F7" w:rsidRDefault="00000000">
      <w:pPr>
        <w:spacing w:line="360" w:lineRule="auto"/>
        <w:ind w:firstLine="560"/>
        <w:rPr>
          <w:lang w:eastAsia="zh-CN"/>
        </w:rPr>
      </w:pPr>
      <w:r>
        <w:rPr>
          <w:rFonts w:hint="eastAsia"/>
          <w:lang w:eastAsia="zh-CN"/>
        </w:rPr>
        <w:t>税务部门统计，根据上市公司公开财务数据，今年上半年，</w:t>
      </w:r>
      <w:r>
        <w:rPr>
          <w:rFonts w:hint="eastAsia"/>
          <w:lang w:eastAsia="zh-CN"/>
        </w:rPr>
        <w:t>A</w:t>
      </w:r>
      <w:r>
        <w:rPr>
          <w:rFonts w:hint="eastAsia"/>
          <w:lang w:eastAsia="zh-CN"/>
        </w:rPr>
        <w:t>股上市公司缴纳各项税费</w:t>
      </w:r>
      <w:r>
        <w:rPr>
          <w:rFonts w:hint="eastAsia"/>
          <w:lang w:eastAsia="zh-CN"/>
        </w:rPr>
        <w:t>2.53</w:t>
      </w:r>
      <w:r>
        <w:rPr>
          <w:rFonts w:hint="eastAsia"/>
          <w:lang w:eastAsia="zh-CN"/>
        </w:rPr>
        <w:t>万亿元，同比增长</w:t>
      </w:r>
      <w:r>
        <w:rPr>
          <w:rFonts w:hint="eastAsia"/>
          <w:lang w:eastAsia="zh-CN"/>
        </w:rPr>
        <w:t>4.5%</w:t>
      </w:r>
      <w:r>
        <w:rPr>
          <w:rFonts w:hint="eastAsia"/>
          <w:lang w:eastAsia="zh-CN"/>
        </w:rPr>
        <w:t>，增速分别低于营收和净利润增速</w:t>
      </w:r>
      <w:r>
        <w:rPr>
          <w:rFonts w:hint="eastAsia"/>
          <w:lang w:eastAsia="zh-CN"/>
        </w:rPr>
        <w:t>3.1</w:t>
      </w:r>
      <w:r>
        <w:rPr>
          <w:rFonts w:hint="eastAsia"/>
          <w:lang w:eastAsia="zh-CN"/>
        </w:rPr>
        <w:t>个和</w:t>
      </w:r>
      <w:r>
        <w:rPr>
          <w:rFonts w:hint="eastAsia"/>
          <w:lang w:eastAsia="zh-CN"/>
        </w:rPr>
        <w:t>15</w:t>
      </w:r>
      <w:r>
        <w:rPr>
          <w:rFonts w:hint="eastAsia"/>
          <w:lang w:eastAsia="zh-CN"/>
        </w:rPr>
        <w:t>个百分点，上市公司综合税负较去年同期略降低</w:t>
      </w:r>
      <w:r>
        <w:rPr>
          <w:rFonts w:hint="eastAsia"/>
          <w:lang w:eastAsia="zh-CN"/>
        </w:rPr>
        <w:t>0.2</w:t>
      </w:r>
      <w:r>
        <w:rPr>
          <w:rFonts w:hint="eastAsia"/>
          <w:lang w:eastAsia="zh-CN"/>
        </w:rPr>
        <w:t>个百分点至</w:t>
      </w:r>
      <w:r>
        <w:rPr>
          <w:rFonts w:hint="eastAsia"/>
          <w:lang w:eastAsia="zh-CN"/>
        </w:rPr>
        <w:t>6.7%</w:t>
      </w:r>
      <w:r>
        <w:rPr>
          <w:rFonts w:hint="eastAsia"/>
          <w:lang w:eastAsia="zh-CN"/>
        </w:rPr>
        <w:t>。上半年，上市公司缴纳税收占税务部门征收的税收收入比重接近</w:t>
      </w:r>
      <w:r>
        <w:rPr>
          <w:rFonts w:hint="eastAsia"/>
          <w:lang w:eastAsia="zh-CN"/>
        </w:rPr>
        <w:t>26%</w:t>
      </w:r>
      <w:r>
        <w:rPr>
          <w:rFonts w:hint="eastAsia"/>
          <w:lang w:eastAsia="zh-CN"/>
        </w:rPr>
        <w:t>，自</w:t>
      </w:r>
      <w:r>
        <w:rPr>
          <w:rFonts w:hint="eastAsia"/>
          <w:lang w:eastAsia="zh-CN"/>
        </w:rPr>
        <w:t>2023</w:t>
      </w:r>
      <w:r>
        <w:rPr>
          <w:rFonts w:hint="eastAsia"/>
          <w:lang w:eastAsia="zh-CN"/>
        </w:rPr>
        <w:t>年以来基本稳定在这个水平。</w:t>
      </w:r>
    </w:p>
    <w:p w14:paraId="29EBADD9" w14:textId="77777777" w:rsidR="007F77F7" w:rsidRDefault="00000000">
      <w:pPr>
        <w:spacing w:line="360" w:lineRule="auto"/>
        <w:ind w:firstLine="560"/>
        <w:rPr>
          <w:lang w:eastAsia="zh-CN"/>
        </w:rPr>
      </w:pPr>
      <w:r>
        <w:rPr>
          <w:rFonts w:hint="eastAsia"/>
          <w:lang w:eastAsia="zh-CN"/>
        </w:rPr>
        <w:t>从今年以来上市公司发布的涉税公告看，超过七成属于企业自查自纠补税，超三分之二是因为上市公司旗下成员企业纳税调整而进行的信息披露。补税原因主要有四方面：一是错误适用税收优惠政策，占比约</w:t>
      </w:r>
      <w:r>
        <w:rPr>
          <w:rFonts w:hint="eastAsia"/>
          <w:lang w:eastAsia="zh-CN"/>
        </w:rPr>
        <w:t>40%</w:t>
      </w:r>
      <w:r>
        <w:rPr>
          <w:rFonts w:hint="eastAsia"/>
          <w:lang w:eastAsia="zh-CN"/>
        </w:rPr>
        <w:t>，比如错误享受高新技术企业税收优惠；二是集团内部税务管控不严，占比超过</w:t>
      </w:r>
      <w:r>
        <w:rPr>
          <w:rFonts w:hint="eastAsia"/>
          <w:lang w:eastAsia="zh-CN"/>
        </w:rPr>
        <w:t>30%</w:t>
      </w:r>
      <w:r>
        <w:rPr>
          <w:rFonts w:hint="eastAsia"/>
          <w:lang w:eastAsia="zh-CN"/>
        </w:rPr>
        <w:t>，比如关联交易未按规定进行纳税调整；三是纳税申报方面存在疏忽，占比约</w:t>
      </w:r>
      <w:r>
        <w:rPr>
          <w:rFonts w:hint="eastAsia"/>
          <w:lang w:eastAsia="zh-CN"/>
        </w:rPr>
        <w:t>20%</w:t>
      </w:r>
      <w:r>
        <w:rPr>
          <w:rFonts w:hint="eastAsia"/>
          <w:lang w:eastAsia="zh-CN"/>
        </w:rPr>
        <w:t>，比如不符合不征税条件的地方奖补未按规定申报纳税；四是发票抵扣存在违规，占比约</w:t>
      </w:r>
      <w:r>
        <w:rPr>
          <w:rFonts w:hint="eastAsia"/>
          <w:lang w:eastAsia="zh-CN"/>
        </w:rPr>
        <w:t>5%</w:t>
      </w:r>
      <w:r>
        <w:rPr>
          <w:rFonts w:hint="eastAsia"/>
          <w:lang w:eastAsia="zh-CN"/>
        </w:rPr>
        <w:t>，比如取得合作企业虚开发票等情形。</w:t>
      </w:r>
    </w:p>
    <w:p w14:paraId="51791EF2" w14:textId="77777777" w:rsidR="007F77F7" w:rsidRDefault="00000000">
      <w:pPr>
        <w:spacing w:line="360" w:lineRule="auto"/>
        <w:ind w:firstLine="560"/>
        <w:rPr>
          <w:lang w:eastAsia="zh-CN"/>
        </w:rPr>
      </w:pPr>
      <w:r>
        <w:rPr>
          <w:rFonts w:hint="eastAsia"/>
          <w:lang w:eastAsia="zh-CN"/>
        </w:rPr>
        <w:t>今年前</w:t>
      </w:r>
      <w:r>
        <w:rPr>
          <w:rFonts w:hint="eastAsia"/>
          <w:lang w:eastAsia="zh-CN"/>
        </w:rPr>
        <w:t>8</w:t>
      </w:r>
      <w:r>
        <w:rPr>
          <w:rFonts w:hint="eastAsia"/>
          <w:lang w:eastAsia="zh-CN"/>
        </w:rPr>
        <w:t>个月，税务部门通过税务稽查手段开展合规管理涉及的上市公司户数，较去年同期下降</w:t>
      </w:r>
      <w:r>
        <w:rPr>
          <w:rFonts w:hint="eastAsia"/>
          <w:lang w:eastAsia="zh-CN"/>
        </w:rPr>
        <w:t>6.7%</w:t>
      </w:r>
      <w:r>
        <w:rPr>
          <w:rFonts w:hint="eastAsia"/>
          <w:lang w:eastAsia="zh-CN"/>
        </w:rPr>
        <w:t>。据国家税务总局相关司局负责人介绍，税务部门将继续依法依规开展税收征管，积极营造合规经营、诚信纳税</w:t>
      </w:r>
      <w:r>
        <w:rPr>
          <w:rFonts w:hint="eastAsia"/>
          <w:lang w:eastAsia="zh-CN"/>
        </w:rPr>
        <w:lastRenderedPageBreak/>
        <w:t>的税收生态，严格规范涉企税务检查执法，着力营造法治公平的税收营商环境，推动上市公司等各类经营主体在合规经营中更加稳健发展。</w:t>
      </w:r>
    </w:p>
    <w:p w14:paraId="2EA4FDD6" w14:textId="77777777" w:rsidR="007F77F7" w:rsidRDefault="00000000">
      <w:pPr>
        <w:spacing w:line="360" w:lineRule="auto"/>
        <w:ind w:firstLine="560"/>
        <w:rPr>
          <w:lang w:eastAsia="zh-CN"/>
        </w:rPr>
      </w:pPr>
      <w:r>
        <w:rPr>
          <w:rFonts w:hint="eastAsia"/>
          <w:lang w:eastAsia="zh-CN"/>
        </w:rPr>
        <w:t>提示：上述四类补税原因，同样是拟上市、已上市公司及集团企业的高频风险点。其中“错误适用税收优惠政策”占比最高（约</w:t>
      </w:r>
      <w:r>
        <w:rPr>
          <w:rFonts w:hint="eastAsia"/>
          <w:lang w:eastAsia="zh-CN"/>
        </w:rPr>
        <w:t>40%</w:t>
      </w:r>
      <w:r>
        <w:rPr>
          <w:rFonts w:hint="eastAsia"/>
          <w:lang w:eastAsia="zh-CN"/>
        </w:rPr>
        <w:t>），提示企业不能将优惠资格视为“一劳永逸”，高新技术企业资格、研发费用归集口径、优惠事项留存备查资料均须按年度复核。尤为值得注意的是“不符合不征税条件的地方奖补未按规定申报纳税”一项，其与近年来清理违规招商引资涉税问题的政策导向直接相关，企业在取得地方财政奖补时，应首先完成是否属于增值税应税收入、是否属于企业所得税不征税收入的判定，并完整留存政策依据、拨付文件与会计处理凭证。对集团企业而言，关联交易定价、成员企业间费用分摊、汇总纳税事项应纳入年度税务内控复核清单，避免因“一子偏差、全盘调整”引发披露风险。</w:t>
      </w:r>
    </w:p>
    <w:p w14:paraId="0AAABF01" w14:textId="77777777" w:rsidR="007F77F7" w:rsidRDefault="00000000">
      <w:pPr>
        <w:spacing w:line="360" w:lineRule="auto"/>
        <w:ind w:firstLine="560"/>
        <w:jc w:val="left"/>
        <w:rPr>
          <w:lang w:eastAsia="zh-CN"/>
        </w:rPr>
      </w:pPr>
      <w:r>
        <w:rPr>
          <w:rFonts w:hint="eastAsia"/>
          <w:lang w:eastAsia="zh-CN"/>
        </w:rPr>
        <w:t>信息来源：新华社</w:t>
      </w:r>
    </w:p>
    <w:p w14:paraId="536E4F0C" w14:textId="77777777" w:rsidR="007F77F7" w:rsidRDefault="00000000">
      <w:pPr>
        <w:spacing w:line="360" w:lineRule="auto"/>
        <w:ind w:firstLine="560"/>
        <w:jc w:val="left"/>
        <w:rPr>
          <w:lang w:eastAsia="zh-CN"/>
        </w:rPr>
      </w:pPr>
      <w:r>
        <w:rPr>
          <w:rFonts w:hint="eastAsia"/>
          <w:lang w:eastAsia="zh-CN"/>
        </w:rPr>
        <w:t>时间：</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18</w:t>
      </w:r>
      <w:r>
        <w:rPr>
          <w:rFonts w:hint="eastAsia"/>
          <w:lang w:eastAsia="zh-CN"/>
        </w:rPr>
        <w:t>日</w:t>
      </w:r>
    </w:p>
    <w:p w14:paraId="49DB565A" w14:textId="77777777" w:rsidR="007F77F7" w:rsidRDefault="00000000">
      <w:pPr>
        <w:spacing w:line="360" w:lineRule="auto"/>
        <w:ind w:firstLine="560"/>
        <w:rPr>
          <w:lang w:eastAsia="zh-CN"/>
        </w:rPr>
      </w:pPr>
      <w:r>
        <w:rPr>
          <w:rFonts w:hint="eastAsia"/>
          <w:lang w:eastAsia="zh-CN"/>
        </w:rPr>
        <w:t>链接：</w:t>
      </w:r>
      <w:r>
        <w:rPr>
          <w:rFonts w:hint="eastAsia"/>
          <w:lang w:eastAsia="zh-CN"/>
        </w:rPr>
        <w:t>https://www.chinatax.gov.cn/chinatax/n810219/n810780/c5252509/content.html</w:t>
      </w:r>
    </w:p>
    <w:p w14:paraId="7E8C901C" w14:textId="77777777" w:rsidR="007F77F7" w:rsidRDefault="00000000">
      <w:pPr>
        <w:pStyle w:val="1"/>
        <w:ind w:firstLine="640"/>
        <w:rPr>
          <w:rFonts w:hint="eastAsia"/>
        </w:rPr>
      </w:pPr>
      <w:r>
        <w:rPr>
          <w:rFonts w:hint="eastAsia"/>
        </w:rPr>
        <w:t>三、新法概览</w:t>
      </w:r>
    </w:p>
    <w:p w14:paraId="71818512" w14:textId="77777777" w:rsidR="007F77F7" w:rsidRDefault="00000000">
      <w:pPr>
        <w:pStyle w:val="2"/>
        <w:spacing w:before="140" w:after="140" w:line="360" w:lineRule="auto"/>
        <w:ind w:firstLine="600"/>
        <w:rPr>
          <w:lang w:eastAsia="zh-CN"/>
        </w:rPr>
      </w:pPr>
      <w:r>
        <w:rPr>
          <w:rFonts w:hint="eastAsia"/>
          <w:lang w:eastAsia="zh-CN"/>
        </w:rPr>
        <w:t>（一）财政部</w:t>
      </w:r>
      <w:r>
        <w:rPr>
          <w:rFonts w:hint="eastAsia"/>
          <w:lang w:eastAsia="zh-CN"/>
        </w:rPr>
        <w:t xml:space="preserve"> </w:t>
      </w:r>
      <w:r>
        <w:rPr>
          <w:rFonts w:hint="eastAsia"/>
          <w:lang w:eastAsia="zh-CN"/>
        </w:rPr>
        <w:t>税务总局关于外籍个人股息红利个人所得税政策有关事项的公告　财政部</w:t>
      </w:r>
      <w:r>
        <w:rPr>
          <w:rFonts w:hint="eastAsia"/>
          <w:lang w:eastAsia="zh-CN"/>
        </w:rPr>
        <w:t xml:space="preserve"> </w:t>
      </w:r>
      <w:r>
        <w:rPr>
          <w:rFonts w:hint="eastAsia"/>
          <w:lang w:eastAsia="zh-CN"/>
        </w:rPr>
        <w:t>税务总局公告</w:t>
      </w:r>
      <w:r>
        <w:rPr>
          <w:rFonts w:hint="eastAsia"/>
          <w:lang w:eastAsia="zh-CN"/>
        </w:rPr>
        <w:t>2026</w:t>
      </w:r>
      <w:r>
        <w:rPr>
          <w:rFonts w:hint="eastAsia"/>
          <w:lang w:eastAsia="zh-CN"/>
        </w:rPr>
        <w:t>年第</w:t>
      </w:r>
      <w:r>
        <w:rPr>
          <w:rFonts w:hint="eastAsia"/>
          <w:lang w:eastAsia="zh-CN"/>
        </w:rPr>
        <w:t>27</w:t>
      </w:r>
      <w:r>
        <w:rPr>
          <w:rFonts w:hint="eastAsia"/>
          <w:lang w:eastAsia="zh-CN"/>
        </w:rPr>
        <w:t>号</w:t>
      </w:r>
    </w:p>
    <w:p w14:paraId="10DAE9F8"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现就外籍个人股息红利个人所得税政策有关事项公告如下：</w:t>
      </w:r>
    </w:p>
    <w:p w14:paraId="394E8E42"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一、外籍个人从外商投资企业取得的股息红利所得，按照“利息、股息、红利所得”缴纳个人所得税，适用20%税率。</w:t>
      </w:r>
    </w:p>
    <w:p w14:paraId="15B4588A"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lastRenderedPageBreak/>
        <w:t>二、外商投资企业向外籍个人支付股息红利时，应当代扣代缴税款，并于支付所得的次月15日内申报纳税。外商投资企业未扣缴税款的，取得股息红利的外籍个人应当在取得所得的次年6月30日前缴纳税款；税务机关通知限期缴纳的，外籍个人应当按照期限缴纳税款。</w:t>
      </w:r>
    </w:p>
    <w:p w14:paraId="42B56273"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三、本公告自2026年9月1日起执行，《财政部 国家税务总局关于个人所得税若干政策问题的通知》（财税字〔1994〕20号）第二条第（八）项同时废止。</w:t>
      </w:r>
    </w:p>
    <w:p w14:paraId="438EB815"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特此公告。</w:t>
      </w:r>
    </w:p>
    <w:p w14:paraId="5538E375" w14:textId="77777777" w:rsidR="007F77F7"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财政部 税务总局</w:t>
      </w:r>
    </w:p>
    <w:p w14:paraId="027AD394" w14:textId="77777777" w:rsidR="007F77F7"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2026年9月1日</w:t>
      </w:r>
    </w:p>
    <w:p w14:paraId="3D138099" w14:textId="77777777" w:rsidR="007F77F7" w:rsidRDefault="00000000">
      <w:pPr>
        <w:spacing w:line="360" w:lineRule="auto"/>
        <w:ind w:firstLine="560"/>
        <w:rPr>
          <w:lang w:eastAsia="zh-CN"/>
        </w:rPr>
      </w:pPr>
      <w:r>
        <w:rPr>
          <w:rFonts w:hint="eastAsia"/>
          <w:lang w:eastAsia="zh-CN"/>
        </w:rPr>
        <w:t>说明：本公告废止了《财政部</w:t>
      </w:r>
      <w:r>
        <w:rPr>
          <w:rFonts w:hint="eastAsia"/>
          <w:lang w:eastAsia="zh-CN"/>
        </w:rPr>
        <w:t xml:space="preserve"> </w:t>
      </w:r>
      <w:r>
        <w:rPr>
          <w:rFonts w:hint="eastAsia"/>
          <w:lang w:eastAsia="zh-CN"/>
        </w:rPr>
        <w:t>国家税务总局关于个人所得税若干政策问题的通知》（财税字〔</w:t>
      </w:r>
      <w:r>
        <w:rPr>
          <w:rFonts w:hint="eastAsia"/>
          <w:lang w:eastAsia="zh-CN"/>
        </w:rPr>
        <w:t>1994</w:t>
      </w:r>
      <w:r>
        <w:rPr>
          <w:rFonts w:hint="eastAsia"/>
          <w:lang w:eastAsia="zh-CN"/>
        </w:rPr>
        <w:t>〕</w:t>
      </w:r>
      <w:r>
        <w:rPr>
          <w:rFonts w:hint="eastAsia"/>
          <w:lang w:eastAsia="zh-CN"/>
        </w:rPr>
        <w:t>20</w:t>
      </w:r>
      <w:r>
        <w:rPr>
          <w:rFonts w:hint="eastAsia"/>
          <w:lang w:eastAsia="zh-CN"/>
        </w:rPr>
        <w:t>号）第二条第（八）项关于外籍个人从外商投资企业取得的股息、红利所得暂免征收个人所得税的规定。该项规定制定于</w:t>
      </w:r>
      <w:r>
        <w:rPr>
          <w:rFonts w:hint="eastAsia"/>
          <w:lang w:eastAsia="zh-CN"/>
        </w:rPr>
        <w:t>1994</w:t>
      </w:r>
      <w:r>
        <w:rPr>
          <w:rFonts w:hint="eastAsia"/>
          <w:lang w:eastAsia="zh-CN"/>
        </w:rPr>
        <w:t>年，属我国改革开放初期鼓励外商投资、吸引境外资金的配套安排。此次废止，是我国个人所得税制度向内外统一、公平规范方向调整的又一步，意味着延续三十余年的外籍个人股息红利免税待遇正式终结。</w:t>
      </w:r>
    </w:p>
    <w:p w14:paraId="30395164" w14:textId="77777777" w:rsidR="007F77F7" w:rsidRDefault="00000000">
      <w:pPr>
        <w:spacing w:line="360" w:lineRule="auto"/>
        <w:ind w:firstLine="560"/>
        <w:rPr>
          <w:lang w:eastAsia="zh-CN"/>
        </w:rPr>
      </w:pPr>
      <w:r>
        <w:rPr>
          <w:rFonts w:hint="eastAsia"/>
          <w:lang w:eastAsia="zh-CN"/>
        </w:rPr>
        <w:t>从征管安排看，公告明确了三层规则：一是明确所得性质与税率，按“利息、股息、红利所得”项目适用</w:t>
      </w:r>
      <w:r>
        <w:rPr>
          <w:rFonts w:hint="eastAsia"/>
          <w:lang w:eastAsia="zh-CN"/>
        </w:rPr>
        <w:t>20%</w:t>
      </w:r>
      <w:r>
        <w:rPr>
          <w:rFonts w:hint="eastAsia"/>
          <w:lang w:eastAsia="zh-CN"/>
        </w:rPr>
        <w:t>比例税率，不作任何费用减除；二是明确扣缴机制，外商投资企业（支付方）为法定扣缴义务人，应当在支付股息红利时扣缴税款，并于支付所得的次月</w:t>
      </w:r>
      <w:r>
        <w:rPr>
          <w:rFonts w:hint="eastAsia"/>
          <w:lang w:eastAsia="zh-CN"/>
        </w:rPr>
        <w:t>15</w:t>
      </w:r>
      <w:r>
        <w:rPr>
          <w:rFonts w:hint="eastAsia"/>
          <w:lang w:eastAsia="zh-CN"/>
        </w:rPr>
        <w:t>日内申报纳税；三是明确未扣缴情形下纳税人的补缴义务与期限，即取得股息红利的外籍个人应当在取得所得的次年</w:t>
      </w:r>
      <w:r>
        <w:rPr>
          <w:rFonts w:hint="eastAsia"/>
          <w:lang w:eastAsia="zh-CN"/>
        </w:rPr>
        <w:t>6</w:t>
      </w:r>
      <w:r>
        <w:rPr>
          <w:rFonts w:hint="eastAsia"/>
          <w:lang w:eastAsia="zh-CN"/>
        </w:rPr>
        <w:t>月</w:t>
      </w:r>
      <w:r>
        <w:rPr>
          <w:rFonts w:hint="eastAsia"/>
          <w:lang w:eastAsia="zh-CN"/>
        </w:rPr>
        <w:t>30</w:t>
      </w:r>
      <w:r>
        <w:rPr>
          <w:rFonts w:hint="eastAsia"/>
          <w:lang w:eastAsia="zh-CN"/>
        </w:rPr>
        <w:t>日前缴纳税款，税务机关通知限期缴纳的，按通知期限缴纳。</w:t>
      </w:r>
    </w:p>
    <w:p w14:paraId="21F431B6" w14:textId="77777777" w:rsidR="007F77F7" w:rsidRDefault="00000000">
      <w:pPr>
        <w:spacing w:line="360" w:lineRule="auto"/>
        <w:ind w:firstLine="560"/>
        <w:rPr>
          <w:lang w:eastAsia="zh-CN"/>
        </w:rPr>
      </w:pPr>
      <w:r>
        <w:rPr>
          <w:rFonts w:hint="eastAsia"/>
          <w:lang w:eastAsia="zh-CN"/>
        </w:rPr>
        <w:t>实务中需重点关注三个衔接问题。其一，协定待遇的适用。外籍个人如为税收协定居民，仍可依据我国与相关国家签订的税收协定股息条款主张限制税率待遇（通常为</w:t>
      </w:r>
      <w:r>
        <w:rPr>
          <w:rFonts w:hint="eastAsia"/>
          <w:lang w:eastAsia="zh-CN"/>
        </w:rPr>
        <w:t>5%</w:t>
      </w:r>
      <w:r>
        <w:rPr>
          <w:rFonts w:hint="eastAsia"/>
          <w:lang w:eastAsia="zh-CN"/>
        </w:rPr>
        <w:t>、</w:t>
      </w:r>
      <w:r>
        <w:rPr>
          <w:rFonts w:hint="eastAsia"/>
          <w:lang w:eastAsia="zh-CN"/>
        </w:rPr>
        <w:t>10%</w:t>
      </w:r>
      <w:r>
        <w:rPr>
          <w:rFonts w:hint="eastAsia"/>
          <w:lang w:eastAsia="zh-CN"/>
        </w:rPr>
        <w:t>或</w:t>
      </w:r>
      <w:r>
        <w:rPr>
          <w:rFonts w:hint="eastAsia"/>
          <w:lang w:eastAsia="zh-CN"/>
        </w:rPr>
        <w:t>15%</w:t>
      </w:r>
      <w:r>
        <w:rPr>
          <w:rFonts w:hint="eastAsia"/>
          <w:lang w:eastAsia="zh-CN"/>
        </w:rPr>
        <w:t>），但须按规定报送《非居</w:t>
      </w:r>
      <w:r>
        <w:rPr>
          <w:rFonts w:hint="eastAsia"/>
          <w:lang w:eastAsia="zh-CN"/>
        </w:rPr>
        <w:lastRenderedPageBreak/>
        <w:t>民纳税人享受协定待遇信息报告表》并留存相关资料备查。其二，已宣告未分配利润的时点处理。分配行为发生于</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1</w:t>
      </w:r>
      <w:r>
        <w:rPr>
          <w:rFonts w:hint="eastAsia"/>
          <w:lang w:eastAsia="zh-CN"/>
        </w:rPr>
        <w:t>日之后的，应适用新政策；此前已完成分配并适用原规定的，原则上不溯及既往，但相关股东会决议、付款凭证与扣缴记录应完整留存。其三，合资、合作合同中关于股息税负承担的约定。原环境下形成的“税后净额分配”“税负由企业承担”等条款，在新政策下可能使企业实际负担显著上升，建议重新评估利润分配节奏与境外架构的有效税负，必要时通过补充协议予以调整。对代理外商投资企业业务以及跨境家事与财富传承业务的律师而言，本公告将成为近期方案设计的核心变量。</w:t>
      </w:r>
    </w:p>
    <w:p w14:paraId="3023D86D" w14:textId="77777777" w:rsidR="007F77F7" w:rsidRDefault="00000000">
      <w:pPr>
        <w:pStyle w:val="2"/>
        <w:spacing w:before="140" w:after="140" w:line="360" w:lineRule="auto"/>
        <w:ind w:firstLine="600"/>
        <w:rPr>
          <w:lang w:eastAsia="zh-CN"/>
        </w:rPr>
      </w:pPr>
      <w:r>
        <w:rPr>
          <w:rFonts w:hint="eastAsia"/>
          <w:lang w:eastAsia="zh-CN"/>
        </w:rPr>
        <w:t>（二）财政部</w:t>
      </w:r>
      <w:r>
        <w:rPr>
          <w:rFonts w:hint="eastAsia"/>
          <w:lang w:eastAsia="zh-CN"/>
        </w:rPr>
        <w:t xml:space="preserve"> </w:t>
      </w:r>
      <w:r>
        <w:rPr>
          <w:rFonts w:hint="eastAsia"/>
          <w:lang w:eastAsia="zh-CN"/>
        </w:rPr>
        <w:t>税务总局关于发布《境内单位代扣代缴自然人增值税管理办法》的公告　财政部</w:t>
      </w:r>
      <w:r>
        <w:rPr>
          <w:rFonts w:hint="eastAsia"/>
          <w:lang w:eastAsia="zh-CN"/>
        </w:rPr>
        <w:t xml:space="preserve"> </w:t>
      </w:r>
      <w:r>
        <w:rPr>
          <w:rFonts w:hint="eastAsia"/>
          <w:lang w:eastAsia="zh-CN"/>
        </w:rPr>
        <w:t>税务总局公告</w:t>
      </w:r>
      <w:r>
        <w:rPr>
          <w:rFonts w:hint="eastAsia"/>
          <w:lang w:eastAsia="zh-CN"/>
        </w:rPr>
        <w:t>2026</w:t>
      </w:r>
      <w:r>
        <w:rPr>
          <w:rFonts w:hint="eastAsia"/>
          <w:lang w:eastAsia="zh-CN"/>
        </w:rPr>
        <w:t>年第</w:t>
      </w:r>
      <w:r>
        <w:rPr>
          <w:rFonts w:hint="eastAsia"/>
          <w:lang w:eastAsia="zh-CN"/>
        </w:rPr>
        <w:t>28</w:t>
      </w:r>
      <w:r>
        <w:rPr>
          <w:rFonts w:hint="eastAsia"/>
          <w:lang w:eastAsia="zh-CN"/>
        </w:rPr>
        <w:t>号</w:t>
      </w:r>
    </w:p>
    <w:p w14:paraId="6A32A81C"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根据《中华人民共和国增值税法》《中华人民共和国税收征收管理法》《中华人民共和国增值税法实施条例》及有关规定，财政部、税务总局制定了《境内单位代扣代缴自然人增值税管理办法》，现予公布。</w:t>
      </w:r>
    </w:p>
    <w:p w14:paraId="34682432"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特此公告。</w:t>
      </w:r>
    </w:p>
    <w:p w14:paraId="1A416CD4"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附件：《境内单位代扣代缴自然人增值税管理办法》</w:t>
      </w:r>
    </w:p>
    <w:p w14:paraId="5AF8D29C" w14:textId="77777777" w:rsidR="007F77F7"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财政部 税务总局</w:t>
      </w:r>
    </w:p>
    <w:p w14:paraId="16B4A376" w14:textId="77777777" w:rsidR="007F77F7"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2026年9月3日</w:t>
      </w:r>
    </w:p>
    <w:p w14:paraId="2AEF91DA" w14:textId="77777777" w:rsidR="007F77F7" w:rsidRDefault="00000000">
      <w:pPr>
        <w:spacing w:line="360" w:lineRule="auto"/>
        <w:ind w:firstLine="560"/>
        <w:rPr>
          <w:lang w:eastAsia="zh-CN"/>
        </w:rPr>
      </w:pPr>
      <w:r>
        <w:rPr>
          <w:rFonts w:hint="eastAsia"/>
          <w:lang w:eastAsia="zh-CN"/>
        </w:rPr>
        <w:t>附：《境内单位代扣代缴自然人增值税管理办法》（全文共</w:t>
      </w:r>
      <w:r>
        <w:rPr>
          <w:rFonts w:hint="eastAsia"/>
          <w:lang w:eastAsia="zh-CN"/>
        </w:rPr>
        <w:t>15</w:t>
      </w:r>
      <w:r>
        <w:rPr>
          <w:rFonts w:hint="eastAsia"/>
          <w:lang w:eastAsia="zh-CN"/>
        </w:rPr>
        <w:t>条，可在财政部、国家税务总局网站查阅）要点摘录：</w:t>
      </w:r>
    </w:p>
    <w:p w14:paraId="43BB2393" w14:textId="77777777" w:rsidR="007F77F7" w:rsidRDefault="00000000">
      <w:pPr>
        <w:spacing w:line="360" w:lineRule="auto"/>
        <w:ind w:firstLine="560"/>
        <w:rPr>
          <w:lang w:eastAsia="zh-CN"/>
        </w:rPr>
      </w:pPr>
      <w:r>
        <w:rPr>
          <w:rFonts w:hint="eastAsia"/>
          <w:lang w:eastAsia="zh-CN"/>
        </w:rPr>
        <w:t>第一条明确扣缴范围与扣缴义务人——境内自然人提供研发服务、软件服务、设计服务、咨询服务、广播影视节目（作品）制作服务、文化服务、教育服务（以下统称符合规定的应税交易），支付价款的境内单位为扣缴义务人；具体范围按《财政部</w:t>
      </w:r>
      <w:r>
        <w:rPr>
          <w:rFonts w:hint="eastAsia"/>
          <w:lang w:eastAsia="zh-CN"/>
        </w:rPr>
        <w:t xml:space="preserve"> </w:t>
      </w:r>
      <w:r>
        <w:rPr>
          <w:rFonts w:hint="eastAsia"/>
          <w:lang w:eastAsia="zh-CN"/>
        </w:rPr>
        <w:t>税务总局关于增值税征税具体范围有关事项的公告》（</w:t>
      </w:r>
      <w:r>
        <w:rPr>
          <w:rFonts w:hint="eastAsia"/>
          <w:lang w:eastAsia="zh-CN"/>
        </w:rPr>
        <w:t>2026</w:t>
      </w:r>
      <w:r>
        <w:rPr>
          <w:rFonts w:hint="eastAsia"/>
          <w:lang w:eastAsia="zh-CN"/>
        </w:rPr>
        <w:t>年第</w:t>
      </w:r>
      <w:r>
        <w:rPr>
          <w:rFonts w:hint="eastAsia"/>
          <w:lang w:eastAsia="zh-CN"/>
        </w:rPr>
        <w:t>9</w:t>
      </w:r>
      <w:r>
        <w:rPr>
          <w:rFonts w:hint="eastAsia"/>
          <w:lang w:eastAsia="zh-CN"/>
        </w:rPr>
        <w:t>号）执行，后续政策调整的从其规</w:t>
      </w:r>
      <w:r>
        <w:rPr>
          <w:rFonts w:hint="eastAsia"/>
          <w:lang w:eastAsia="zh-CN"/>
        </w:rPr>
        <w:lastRenderedPageBreak/>
        <w:t>定；支付价款的境内单位是指作为应税交易购买方的境内单位，价款包括货币和非货币形式的经济利益对应的全部价款。第二条明确计算公式，应扣缴增值税＝销售额×规定征收率；自然人符合增值税优惠政策适用条件的，应当告知扣缴义务人并如实提供信息资料。第三条规定扣缴时点，自然人与单一扣缴义务人发生符合规定的应税交易，当次（日）销售额达到按次纳税起征点的，扣缴义务人应当在支付价款时代扣增值税；自然人已缴纳税款的，无需代扣。第四条规定扣缴增值税时应按规定同时扣缴附加税费。第五条明确申报期限与发票衔接，扣缴义务人解缴税款的计税期间为一个月，应当自发生应税交易次月一日起十五日内向主管税务机关办理扣缴申报并缴纳税款；已扣缴增值税的应税交易，自然人申请代开发票时无需再次缴纳税款；未申请代开发票的，扣缴义务人可以向自然人发起开票提醒，由自然人确认后申请代开。第六条明确未达起征点、适用免征增值税政策或无需代扣情形下，扣缴义务人仍应按第五条规定办理申报。第七条规定已扣缴交易因销售折让、中止或退回导致应扣缴增值税发生变化的，应当更正扣缴当期的扣缴申报。第八条至第十一条规定：自然人有权要求扣缴义务人提供已扣缴税款及扣缴申报记录等信息；扣缴义务人应当按照自然人提供的信息计算税款、办理扣缴申报，不得擅自更改，发现信息与实际情况不符且自然人拒绝修改的，应当报告主管税务机关；同时应当按照规定保存代扣代缴税款账簿、合法凭证以及自然人身份信息、应税交易信息、结算支付记录等资料，并对自然人身份信息及优惠条件信息资料保密。第十二条规定自然人拒绝履行代扣代缴的，扣缴义务人应当及时报告主管税务机关。第十三条规定应扣未扣税款、未按照规定办理扣缴申报、不缴或少缴已扣税款、借用或冒用他人身份等情形，由主管税务机关依照《中华人民共和国税收征收管理法》等相关法律、行政法规处理。第十四条明确属于互联网平台内从业人员通过互联网平台发生符合规定的应税交易，由互联网平</w:t>
      </w:r>
      <w:r>
        <w:rPr>
          <w:rFonts w:hint="eastAsia"/>
          <w:lang w:eastAsia="zh-CN"/>
        </w:rPr>
        <w:lastRenderedPageBreak/>
        <w:t>台企业按有关规定办理增值税代办申报的，不适用本办法。第十五条明确施行日期，本办法自</w:t>
      </w:r>
      <w:r>
        <w:rPr>
          <w:rFonts w:hint="eastAsia"/>
          <w:lang w:eastAsia="zh-CN"/>
        </w:rPr>
        <w:t>2026</w:t>
      </w:r>
      <w:r>
        <w:rPr>
          <w:rFonts w:hint="eastAsia"/>
          <w:lang w:eastAsia="zh-CN"/>
        </w:rPr>
        <w:t>年</w:t>
      </w:r>
      <w:r>
        <w:rPr>
          <w:rFonts w:hint="eastAsia"/>
          <w:lang w:eastAsia="zh-CN"/>
        </w:rPr>
        <w:t>11</w:t>
      </w:r>
      <w:r>
        <w:rPr>
          <w:rFonts w:hint="eastAsia"/>
          <w:lang w:eastAsia="zh-CN"/>
        </w:rPr>
        <w:t>月</w:t>
      </w:r>
      <w:r>
        <w:rPr>
          <w:rFonts w:hint="eastAsia"/>
          <w:lang w:eastAsia="zh-CN"/>
        </w:rPr>
        <w:t>1</w:t>
      </w:r>
      <w:r>
        <w:rPr>
          <w:rFonts w:hint="eastAsia"/>
          <w:lang w:eastAsia="zh-CN"/>
        </w:rPr>
        <w:t>日起施行；</w:t>
      </w:r>
      <w:r>
        <w:rPr>
          <w:rFonts w:hint="eastAsia"/>
          <w:lang w:eastAsia="zh-CN"/>
        </w:rPr>
        <w:t>2026</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日至</w:t>
      </w:r>
      <w:r>
        <w:rPr>
          <w:rFonts w:hint="eastAsia"/>
          <w:lang w:eastAsia="zh-CN"/>
        </w:rPr>
        <w:t>10</w:t>
      </w:r>
      <w:r>
        <w:rPr>
          <w:rFonts w:hint="eastAsia"/>
          <w:lang w:eastAsia="zh-CN"/>
        </w:rPr>
        <w:t>月</w:t>
      </w:r>
      <w:r>
        <w:rPr>
          <w:rFonts w:hint="eastAsia"/>
          <w:lang w:eastAsia="zh-CN"/>
        </w:rPr>
        <w:t>31</w:t>
      </w:r>
      <w:r>
        <w:rPr>
          <w:rFonts w:hint="eastAsia"/>
          <w:lang w:eastAsia="zh-CN"/>
        </w:rPr>
        <w:t>日期间自然人发生的符合规定的应税交易，由自然人按照《中华人民共和国增值税法实施条例》第四十四条规定自行申报纳税。</w:t>
      </w:r>
    </w:p>
    <w:p w14:paraId="7D508DE6" w14:textId="77777777" w:rsidR="007F77F7" w:rsidRDefault="00000000">
      <w:pPr>
        <w:spacing w:line="360" w:lineRule="auto"/>
        <w:ind w:firstLine="560"/>
        <w:rPr>
          <w:lang w:eastAsia="zh-CN"/>
        </w:rPr>
      </w:pPr>
      <w:r>
        <w:rPr>
          <w:rFonts w:hint="eastAsia"/>
          <w:lang w:eastAsia="zh-CN"/>
        </w:rPr>
        <w:t>说明：《境内单位代扣代缴自然人增值税管理办法》是增值税法及其实施条例施行后，针对自然人提供研发服务、软件服务、设计服务、咨询服务、广播影视节目（作品）制作服务、文化服务、教育服务等劳务情形增值税代扣代缴的具体操作规范。办法明确了扣缴义务人范围、应扣缴增值税计算公式、按次纳税起征点判断、扣缴申报期限（次月</w:t>
      </w:r>
      <w:r>
        <w:rPr>
          <w:rFonts w:hint="eastAsia"/>
          <w:lang w:eastAsia="zh-CN"/>
        </w:rPr>
        <w:t>15</w:t>
      </w:r>
      <w:r>
        <w:rPr>
          <w:rFonts w:hint="eastAsia"/>
          <w:lang w:eastAsia="zh-CN"/>
        </w:rPr>
        <w:t>日内）、附加税费同扣、发票开具衔接、信息提供与更正、账簿凭证保存、保密义务及法律责任等，并规定自</w:t>
      </w:r>
      <w:r>
        <w:rPr>
          <w:rFonts w:hint="eastAsia"/>
          <w:lang w:eastAsia="zh-CN"/>
        </w:rPr>
        <w:t>2026</w:t>
      </w:r>
      <w:r>
        <w:rPr>
          <w:rFonts w:hint="eastAsia"/>
          <w:lang w:eastAsia="zh-CN"/>
        </w:rPr>
        <w:t>年</w:t>
      </w:r>
      <w:r>
        <w:rPr>
          <w:rFonts w:hint="eastAsia"/>
          <w:lang w:eastAsia="zh-CN"/>
        </w:rPr>
        <w:t>11</w:t>
      </w:r>
      <w:r>
        <w:rPr>
          <w:rFonts w:hint="eastAsia"/>
          <w:lang w:eastAsia="zh-CN"/>
        </w:rPr>
        <w:t>月</w:t>
      </w:r>
      <w:r>
        <w:rPr>
          <w:rFonts w:hint="eastAsia"/>
          <w:lang w:eastAsia="zh-CN"/>
        </w:rPr>
        <w:t>1</w:t>
      </w:r>
      <w:r>
        <w:rPr>
          <w:rFonts w:hint="eastAsia"/>
          <w:lang w:eastAsia="zh-CN"/>
        </w:rPr>
        <w:t>日起施行；过渡期内（</w:t>
      </w:r>
      <w:r>
        <w:rPr>
          <w:rFonts w:hint="eastAsia"/>
          <w:lang w:eastAsia="zh-CN"/>
        </w:rPr>
        <w:t>2026</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日至</w:t>
      </w:r>
      <w:r>
        <w:rPr>
          <w:rFonts w:hint="eastAsia"/>
          <w:lang w:eastAsia="zh-CN"/>
        </w:rPr>
        <w:t>10</w:t>
      </w:r>
      <w:r>
        <w:rPr>
          <w:rFonts w:hint="eastAsia"/>
          <w:lang w:eastAsia="zh-CN"/>
        </w:rPr>
        <w:t>月</w:t>
      </w:r>
      <w:r>
        <w:rPr>
          <w:rFonts w:hint="eastAsia"/>
          <w:lang w:eastAsia="zh-CN"/>
        </w:rPr>
        <w:t>31</w:t>
      </w:r>
      <w:r>
        <w:rPr>
          <w:rFonts w:hint="eastAsia"/>
          <w:lang w:eastAsia="zh-CN"/>
        </w:rPr>
        <w:t>日），自然人按增值税法实施条例第四十四条规定自行申报纳税。相关企业应梳理向自然人支付上述劳务价款的业务场景，及时做好代扣代缴系统与申报安排。</w:t>
      </w:r>
    </w:p>
    <w:p w14:paraId="1660A60C" w14:textId="77777777" w:rsidR="007F77F7" w:rsidRDefault="00000000">
      <w:pPr>
        <w:spacing w:line="360" w:lineRule="auto"/>
        <w:ind w:firstLine="560"/>
        <w:rPr>
          <w:lang w:eastAsia="zh-CN"/>
        </w:rPr>
      </w:pPr>
      <w:r>
        <w:rPr>
          <w:rFonts w:hint="eastAsia"/>
          <w:lang w:eastAsia="zh-CN"/>
        </w:rPr>
        <w:t>对企业和律师业务而言，建议重点推动三项工作：一是梳理付款对象，全面识别企业向自然人支付的全部款项，包括研发服务、软件服务、设计服务、咨询服务、广播影视节目（作品）制作服务、文化服务、教育服务等，逐项评估扣缴影响与税负测算；二是改造合同条款，在服务类合同中明确价款是否含税、扣缴方式与征收率、完税凭证提供义务、发票代开安排及违约责任，避免事后争议；三是调整财务流程，将扣缴申报作为付款审批的前置节点，实现“先扣后付、付款留痕”，避免形成应扣未扣及相应的行政责任。同时应注意：自然人符合增值税优惠政策适用条件的，应当告知扣缴义务人并如实提供信息资料；自然人已缴纳税款的，扣缴义务人无需代扣；已按本办法扣缴增值税的应税交易，自然人申请代开发票时无需再次缴纳税款，未申请代开发票的，扣缴义务人可发起开票提醒。</w:t>
      </w:r>
    </w:p>
    <w:p w14:paraId="14CEC6A5" w14:textId="77777777" w:rsidR="007F77F7" w:rsidRDefault="00000000">
      <w:pPr>
        <w:spacing w:line="360" w:lineRule="auto"/>
        <w:ind w:firstLine="560"/>
        <w:rPr>
          <w:lang w:eastAsia="zh-CN"/>
        </w:rPr>
      </w:pPr>
      <w:r>
        <w:rPr>
          <w:rFonts w:hint="eastAsia"/>
          <w:lang w:eastAsia="zh-CN"/>
        </w:rPr>
        <w:lastRenderedPageBreak/>
        <w:t>从争议预防角度看，还有两个问题值得律师关注。其一，扣缴义务人与纳税人的责任划分。在应扣未扣的情形下，税务机关向纳税人追缴税款，同时对扣缴义务人依照《中华人民共和国税收征收管理法》等法律、行政法规处理，双方各自承担独立的行政责任；因此，合同中约定“税费由对方承担”并不能免除扣缴义务人的法定责任，只能作为内部追偿的依据。其二，三种申报口径的区分。第十四条明确，属于互联网平台内从业人员通过互联网平台发生符合规定的应税交易，由互联网平台企业按有关规定办理增值税代办申报的，不适用本办法；第十五条明确，</w:t>
      </w:r>
      <w:r>
        <w:rPr>
          <w:rFonts w:hint="eastAsia"/>
          <w:lang w:eastAsia="zh-CN"/>
        </w:rPr>
        <w:t>2026</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日至</w:t>
      </w:r>
      <w:r>
        <w:rPr>
          <w:rFonts w:hint="eastAsia"/>
          <w:lang w:eastAsia="zh-CN"/>
        </w:rPr>
        <w:t>10</w:t>
      </w:r>
      <w:r>
        <w:rPr>
          <w:rFonts w:hint="eastAsia"/>
          <w:lang w:eastAsia="zh-CN"/>
        </w:rPr>
        <w:t>月</w:t>
      </w:r>
      <w:r>
        <w:rPr>
          <w:rFonts w:hint="eastAsia"/>
          <w:lang w:eastAsia="zh-CN"/>
        </w:rPr>
        <w:t>31</w:t>
      </w:r>
      <w:r>
        <w:rPr>
          <w:rFonts w:hint="eastAsia"/>
          <w:lang w:eastAsia="zh-CN"/>
        </w:rPr>
        <w:t>日期间自然人发生的符合规定的应税交易，由自然人按《中华人民共和国增值税法实施条例》第四十四条规定自行申报纳税；自</w:t>
      </w:r>
      <w:r>
        <w:rPr>
          <w:rFonts w:hint="eastAsia"/>
          <w:lang w:eastAsia="zh-CN"/>
        </w:rPr>
        <w:t>2026</w:t>
      </w:r>
      <w:r>
        <w:rPr>
          <w:rFonts w:hint="eastAsia"/>
          <w:lang w:eastAsia="zh-CN"/>
        </w:rPr>
        <w:t>年</w:t>
      </w:r>
      <w:r>
        <w:rPr>
          <w:rFonts w:hint="eastAsia"/>
          <w:lang w:eastAsia="zh-CN"/>
        </w:rPr>
        <w:t>11</w:t>
      </w:r>
      <w:r>
        <w:rPr>
          <w:rFonts w:hint="eastAsia"/>
          <w:lang w:eastAsia="zh-CN"/>
        </w:rPr>
        <w:t>月</w:t>
      </w:r>
      <w:r>
        <w:rPr>
          <w:rFonts w:hint="eastAsia"/>
          <w:lang w:eastAsia="zh-CN"/>
        </w:rPr>
        <w:t>1</w:t>
      </w:r>
      <w:r>
        <w:rPr>
          <w:rFonts w:hint="eastAsia"/>
          <w:lang w:eastAsia="zh-CN"/>
        </w:rPr>
        <w:t>日起，则由支付价款的境内单位代扣代缴。企业应当据此区分“平台代办”“过渡期自缴”“单位扣缴”三种口径，避免混淆适用。</w:t>
      </w:r>
    </w:p>
    <w:p w14:paraId="5BA768D4" w14:textId="77777777" w:rsidR="007F77F7" w:rsidRDefault="00000000">
      <w:pPr>
        <w:pStyle w:val="2"/>
        <w:spacing w:before="140" w:after="140" w:line="360" w:lineRule="auto"/>
        <w:ind w:firstLine="600"/>
        <w:rPr>
          <w:lang w:eastAsia="zh-CN"/>
        </w:rPr>
      </w:pPr>
      <w:r>
        <w:rPr>
          <w:rFonts w:hint="eastAsia"/>
          <w:lang w:eastAsia="zh-CN"/>
        </w:rPr>
        <w:t>（三）国家税务总局关于境内单位代扣代缴自然人增值税有关申报事项的公告　国家税务总局公告</w:t>
      </w:r>
      <w:r>
        <w:rPr>
          <w:rFonts w:hint="eastAsia"/>
          <w:lang w:eastAsia="zh-CN"/>
        </w:rPr>
        <w:t>2026</w:t>
      </w:r>
      <w:r>
        <w:rPr>
          <w:rFonts w:hint="eastAsia"/>
          <w:lang w:eastAsia="zh-CN"/>
        </w:rPr>
        <w:t>年第</w:t>
      </w:r>
      <w:r>
        <w:rPr>
          <w:rFonts w:hint="eastAsia"/>
          <w:lang w:eastAsia="zh-CN"/>
        </w:rPr>
        <w:t>19</w:t>
      </w:r>
      <w:r>
        <w:rPr>
          <w:rFonts w:hint="eastAsia"/>
          <w:lang w:eastAsia="zh-CN"/>
        </w:rPr>
        <w:t>号</w:t>
      </w:r>
    </w:p>
    <w:p w14:paraId="406D7265"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根据《中华人民共和国增值税法》《中华人民共和国增值税法实施条例》以及《财政部 税务总局关于发布〈境内单位代扣代缴自然人增值税管理办法〉的公告》（2026年第28号）有关规定，国家税务总局制定了《境内单位代扣代缴自然人增值税及附加税费申报表》及其附列资料，现予公布。</w:t>
      </w:r>
    </w:p>
    <w:p w14:paraId="41CA5D51"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本公告自2026年11月1日起施行。</w:t>
      </w:r>
    </w:p>
    <w:p w14:paraId="0B6AB0FD"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特此公告。</w:t>
      </w:r>
    </w:p>
    <w:p w14:paraId="1714951B"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附件：1.《境内单位代扣代缴自然人增值税及附加税费申报表》及其附列资料</w:t>
      </w:r>
    </w:p>
    <w:p w14:paraId="0BA8F352"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2.《境内单位代扣代缴自然人增值税及附加税费申报表》及其附列资料填报说明</w:t>
      </w:r>
    </w:p>
    <w:p w14:paraId="6B8B4157" w14:textId="77777777" w:rsidR="007F77F7"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lastRenderedPageBreak/>
        <w:t>国家税务总局</w:t>
      </w:r>
    </w:p>
    <w:p w14:paraId="58569B6B" w14:textId="77777777" w:rsidR="007F77F7"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2026年9月4日</w:t>
      </w:r>
    </w:p>
    <w:p w14:paraId="0D95389B" w14:textId="77777777" w:rsidR="007F77F7" w:rsidRDefault="00000000">
      <w:pPr>
        <w:spacing w:line="360" w:lineRule="auto"/>
        <w:ind w:firstLine="560"/>
        <w:rPr>
          <w:lang w:eastAsia="zh-CN"/>
        </w:rPr>
      </w:pPr>
      <w:r>
        <w:rPr>
          <w:rFonts w:hint="eastAsia"/>
          <w:lang w:eastAsia="zh-CN"/>
        </w:rPr>
        <w:t>说明：本公告的制发背景是《增值税法实施条例》第三十五条明确自然人发生符合规定的应税交易、支付价款的境内单位为扣缴义务人，代扣代缴的具体操作办法由国务院财政、税务主管部门制定；财政部、税务总局据此联合发布《境内单位代扣代缴自然人增值税管理办法》（</w:t>
      </w:r>
      <w:r>
        <w:rPr>
          <w:rFonts w:hint="eastAsia"/>
          <w:lang w:eastAsia="zh-CN"/>
        </w:rPr>
        <w:t>2026</w:t>
      </w:r>
      <w:r>
        <w:rPr>
          <w:rFonts w:hint="eastAsia"/>
          <w:lang w:eastAsia="zh-CN"/>
        </w:rPr>
        <w:t>年第</w:t>
      </w:r>
      <w:r>
        <w:rPr>
          <w:rFonts w:hint="eastAsia"/>
          <w:lang w:eastAsia="zh-CN"/>
        </w:rPr>
        <w:t>28</w:t>
      </w:r>
      <w:r>
        <w:rPr>
          <w:rFonts w:hint="eastAsia"/>
          <w:lang w:eastAsia="zh-CN"/>
        </w:rPr>
        <w:t>号），自</w:t>
      </w:r>
      <w:r>
        <w:rPr>
          <w:rFonts w:hint="eastAsia"/>
          <w:lang w:eastAsia="zh-CN"/>
        </w:rPr>
        <w:t>2026</w:t>
      </w:r>
      <w:r>
        <w:rPr>
          <w:rFonts w:hint="eastAsia"/>
          <w:lang w:eastAsia="zh-CN"/>
        </w:rPr>
        <w:t>年</w:t>
      </w:r>
      <w:r>
        <w:rPr>
          <w:rFonts w:hint="eastAsia"/>
          <w:lang w:eastAsia="zh-CN"/>
        </w:rPr>
        <w:t>11</w:t>
      </w:r>
      <w:r>
        <w:rPr>
          <w:rFonts w:hint="eastAsia"/>
          <w:lang w:eastAsia="zh-CN"/>
        </w:rPr>
        <w:t>月</w:t>
      </w:r>
      <w:r>
        <w:rPr>
          <w:rFonts w:hint="eastAsia"/>
          <w:lang w:eastAsia="zh-CN"/>
        </w:rPr>
        <w:t>1</w:t>
      </w:r>
      <w:r>
        <w:rPr>
          <w:rFonts w:hint="eastAsia"/>
          <w:lang w:eastAsia="zh-CN"/>
        </w:rPr>
        <w:t>日起施行，税务总局相应制发本公告，明确扣缴申报事项与表证单书。</w:t>
      </w:r>
    </w:p>
    <w:p w14:paraId="30A958E4" w14:textId="77777777" w:rsidR="007F77F7" w:rsidRDefault="00000000">
      <w:pPr>
        <w:spacing w:line="360" w:lineRule="auto"/>
        <w:ind w:firstLine="560"/>
        <w:rPr>
          <w:lang w:eastAsia="zh-CN"/>
        </w:rPr>
      </w:pPr>
      <w:r>
        <w:rPr>
          <w:rFonts w:hint="eastAsia"/>
          <w:lang w:eastAsia="zh-CN"/>
        </w:rPr>
        <w:t>本次发布的申报表体系包括三个部分。《申报表》主要填写境内单位代扣代缴自然人增值税及附加税费情况，包括表头项目和表内项目两个部分：表头项目包括扣缴义务发生所属期、扣缴义务人名称以及扣缴义务人纳税人识别号（统一社会信用代码）；表内项目包括基础信息、应税交易信息、增值税税款计算、附加税费、备注五类共</w:t>
      </w:r>
      <w:r>
        <w:rPr>
          <w:rFonts w:hint="eastAsia"/>
          <w:lang w:eastAsia="zh-CN"/>
        </w:rPr>
        <w:t>14</w:t>
      </w:r>
      <w:r>
        <w:rPr>
          <w:rFonts w:hint="eastAsia"/>
          <w:lang w:eastAsia="zh-CN"/>
        </w:rPr>
        <w:t>列，以及声明、经办人信息及代理机构信息、税务机关受理信息等。《附列资料》主要填写附加税费（城市维护建设税、教育费附加、地方教育附加）扣缴申报明细，其表头项目与《申报表》一致，表内项目包括基础信息、应税交易信息、计税（费）依据、城市维护建设税、教育费附加、地方教育附加、合计七类共</w:t>
      </w:r>
      <w:r>
        <w:rPr>
          <w:rFonts w:hint="eastAsia"/>
          <w:lang w:eastAsia="zh-CN"/>
        </w:rPr>
        <w:t>19</w:t>
      </w:r>
      <w:r>
        <w:rPr>
          <w:rFonts w:hint="eastAsia"/>
          <w:lang w:eastAsia="zh-CN"/>
        </w:rPr>
        <w:t>列。《填报说明》分为适用范围、《申报表》填报说明、《附列资料》填报说明及其他事项说明四个部分，并明确以纸质方式报送的应当一式两份，扣缴义务人、税务机关各留存一份。</w:t>
      </w:r>
    </w:p>
    <w:p w14:paraId="6BC400B6" w14:textId="77777777" w:rsidR="007F77F7" w:rsidRDefault="00000000">
      <w:pPr>
        <w:spacing w:line="360" w:lineRule="auto"/>
        <w:ind w:firstLine="560"/>
        <w:rPr>
          <w:lang w:eastAsia="zh-CN"/>
        </w:rPr>
      </w:pPr>
      <w:r>
        <w:rPr>
          <w:rFonts w:hint="eastAsia"/>
          <w:lang w:eastAsia="zh-CN"/>
        </w:rPr>
        <w:t>实务提示：本套申报表将增值税与附加税费合并扣缴申报，扣缴义务人自</w:t>
      </w:r>
      <w:r>
        <w:rPr>
          <w:rFonts w:hint="eastAsia"/>
          <w:lang w:eastAsia="zh-CN"/>
        </w:rPr>
        <w:t>2026</w:t>
      </w:r>
      <w:r>
        <w:rPr>
          <w:rFonts w:hint="eastAsia"/>
          <w:lang w:eastAsia="zh-CN"/>
        </w:rPr>
        <w:t>年</w:t>
      </w:r>
      <w:r>
        <w:rPr>
          <w:rFonts w:hint="eastAsia"/>
          <w:lang w:eastAsia="zh-CN"/>
        </w:rPr>
        <w:t>11</w:t>
      </w:r>
      <w:r>
        <w:rPr>
          <w:rFonts w:hint="eastAsia"/>
          <w:lang w:eastAsia="zh-CN"/>
        </w:rPr>
        <w:t>月</w:t>
      </w:r>
      <w:r>
        <w:rPr>
          <w:rFonts w:hint="eastAsia"/>
          <w:lang w:eastAsia="zh-CN"/>
        </w:rPr>
        <w:t>1</w:t>
      </w:r>
      <w:r>
        <w:rPr>
          <w:rFonts w:hint="eastAsia"/>
          <w:lang w:eastAsia="zh-CN"/>
        </w:rPr>
        <w:t>日起需在现有申报体系之外增设“扣缴申报”环节，并注意与个人所得税扣缴申报（劳务报酬、稿酬等所得）的区分与并行申报；同时应关注申报表与合同、付款凭证、完税凭证之间的勾稽关系，做到“合同条款—款项支付—税款扣缴—完税凭证”全过程一致，</w:t>
      </w:r>
      <w:r>
        <w:rPr>
          <w:rFonts w:hint="eastAsia"/>
          <w:lang w:eastAsia="zh-CN"/>
        </w:rPr>
        <w:lastRenderedPageBreak/>
        <w:t>以应对后续核查。建议扣缴义务人在施行前完成电子税务局相关模块的配置测试、申报人员培训与内部制度修订。</w:t>
      </w:r>
    </w:p>
    <w:p w14:paraId="595C36CF" w14:textId="77777777" w:rsidR="007F77F7" w:rsidRDefault="00000000">
      <w:pPr>
        <w:pStyle w:val="2"/>
        <w:spacing w:before="140" w:after="140" w:line="360" w:lineRule="auto"/>
        <w:ind w:firstLine="600"/>
        <w:rPr>
          <w:lang w:eastAsia="zh-CN"/>
        </w:rPr>
      </w:pPr>
      <w:r>
        <w:rPr>
          <w:rFonts w:hint="eastAsia"/>
          <w:lang w:eastAsia="zh-CN"/>
        </w:rPr>
        <w:t>（四）国家税务总局就《税务行政复议规则（征求意见稿）》公开征求意见</w:t>
      </w:r>
    </w:p>
    <w:p w14:paraId="41AF843B"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2026年9月1日，国家税务总局发布通知，就《税务行政复议规则（征求意见稿）》向社会公开征求意见，意见反馈截止时间为2026年9月30日。</w:t>
      </w:r>
    </w:p>
    <w:p w14:paraId="0570ADE5"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通知指出，为进一步发挥税务行政复议化解行政争议的主渠道作用，保护纳税人缴费人合法权益，监督和保障税务机关依法行使职权，国家税务总局对《税务行政复议规则》（国家税务总局令第21号公布，国家税务总局令第39号、第44号修正）进行修改并形成《税务行政复议规则（征求意见稿）》。公众可登录国家税务总局网站，在首页主菜单“互动交流—意见征集”栏目提出意见，或通过信函方式将意见邮寄至国家税务总局政策法规司（北京市海淀区羊坊店西路5号，邮政编码：100038），并在信封上注明“税务行政复议规则征求意见”字样。</w:t>
      </w:r>
    </w:p>
    <w:p w14:paraId="4ECBD13A"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税务总局有关司局负责人介绍，现行《税务行政复议规则》于2010年公布，2015年、2018年两次修订后施行至今。2024年1月1日起新修订的《行政复议法》施行，与之配套的《行政复议法实施条例》于2026年7月1日起施行。为做好《规则》与上位法衔接，本次修订全面体现新《行政复议法》及其实施条例的内容，篇章结构由原12章调整为10章（总则、机构和人员、申请、受理、审理、决定、和解与调解、指导与监督、法律责任、附则），条款内容对原《规则》承继26条、修改74条、新增32条，共132条，并厘清税务行政复议受理边界，完善行政复议参加人制度，优化申请、受理与审理程序，丰富行政复议决定类型，扩大和解调解适用范围，强化税务行政复议工作的组织保障。</w:t>
      </w:r>
    </w:p>
    <w:p w14:paraId="7C269042" w14:textId="77777777" w:rsidR="007F77F7"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国家税务总局同步公布了《税务行政复议规则（征求意见稿）》及《关于〈税务行政复议规则（征求意见稿）〉的起草说明》。</w:t>
      </w:r>
    </w:p>
    <w:p w14:paraId="6E792D48" w14:textId="77777777" w:rsidR="007F77F7" w:rsidRDefault="00000000">
      <w:pPr>
        <w:spacing w:line="360" w:lineRule="auto"/>
        <w:ind w:firstLine="560"/>
        <w:rPr>
          <w:lang w:eastAsia="zh-CN"/>
        </w:rPr>
      </w:pPr>
      <w:r>
        <w:rPr>
          <w:rFonts w:hint="eastAsia"/>
          <w:lang w:eastAsia="zh-CN"/>
        </w:rPr>
        <w:lastRenderedPageBreak/>
        <w:t>说明：《税务行政复议规则》是纳税人缴费人寻求涉税行政救济的基本程序规范，也是涉税争议解决律师最常用的办案依据之一。本次修改以“进一步发挥税务行政复议化解行政争议的主渠道作用，保护纳税人缴费人合法权益，监督和保障税务机关依法行使职权”为基本取向，结合新修订《行政复议法》及其实施条例对复议范围、申请与受理、审理方式、证据规则、决定类型等提出的新要求，预计将在受案范围细化（如纳税缴费信用等级评定与修复、非正常户认定、发票领用限制、涉税专业服务监管措施等管理行为的可复议性）、审理方式完善（听取意见、听证、实地调查、简易程序与普通程序划分）、证据规则与权利保障明确（举证责任分配、纳税人陈述申辩权行使）、复议与诉讼衔接等方面产生实务影响。建议从事涉税争议解决业务的律师对照《征求意见稿》及《起草说明》逐条研读，重点比对修改前后的差异条款，并在</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30</w:t>
      </w:r>
      <w:r>
        <w:rPr>
          <w:rFonts w:hint="eastAsia"/>
          <w:lang w:eastAsia="zh-CN"/>
        </w:rPr>
        <w:t>日前通过国家税务总局网站“互动交流—意见征集”栏目或信函方式集中反馈实务意见。</w:t>
      </w:r>
    </w:p>
    <w:p w14:paraId="39CB265B" w14:textId="77777777" w:rsidR="007F77F7" w:rsidRDefault="00000000">
      <w:pPr>
        <w:pStyle w:val="1"/>
        <w:ind w:firstLine="640"/>
        <w:rPr>
          <w:rFonts w:hint="eastAsia"/>
        </w:rPr>
      </w:pPr>
      <w:r>
        <w:rPr>
          <w:rFonts w:hint="eastAsia"/>
        </w:rPr>
        <w:t>四、典型税案</w:t>
      </w:r>
    </w:p>
    <w:p w14:paraId="418B4CFF" w14:textId="77777777" w:rsidR="007F77F7" w:rsidRDefault="00000000">
      <w:pPr>
        <w:pStyle w:val="2"/>
        <w:spacing w:before="140" w:after="140" w:line="360" w:lineRule="auto"/>
        <w:ind w:firstLine="600"/>
        <w:rPr>
          <w:lang w:eastAsia="zh-CN"/>
        </w:rPr>
      </w:pPr>
      <w:r>
        <w:rPr>
          <w:rFonts w:hint="eastAsia"/>
          <w:lang w:eastAsia="zh-CN"/>
        </w:rPr>
        <w:t>（一）私户归集油款造假象</w:t>
      </w:r>
      <w:r>
        <w:rPr>
          <w:rFonts w:hint="eastAsia"/>
          <w:lang w:eastAsia="zh-CN"/>
        </w:rPr>
        <w:t xml:space="preserve"> </w:t>
      </w:r>
      <w:r>
        <w:rPr>
          <w:rFonts w:hint="eastAsia"/>
          <w:lang w:eastAsia="zh-CN"/>
        </w:rPr>
        <w:t>寻根溯源破隐匿迷局——德保县德能加油站账外隐匿收入偷税被查处</w:t>
      </w:r>
    </w:p>
    <w:p w14:paraId="1815A79C" w14:textId="77777777" w:rsidR="007F77F7" w:rsidRDefault="00000000">
      <w:pPr>
        <w:pStyle w:val="a3"/>
        <w:ind w:firstLine="560"/>
        <w:rPr>
          <w:rFonts w:hint="eastAsia"/>
          <w:lang w:eastAsia="zh-CN"/>
        </w:rPr>
      </w:pPr>
      <w:r>
        <w:rPr>
          <w:rFonts w:hint="eastAsia"/>
          <w:lang w:eastAsia="zh-CN"/>
        </w:rPr>
        <w:t>近期，国家税务总局百色市税务局第三稽查局依法查处德保县德能加油站隐匿收入偷税案件。经查，2022年至2024年，德保县德能加油站通过个人银行账户收款、第三方收款平台私分结算、在账簿凭证上少列收入等手段隐匿销售收入进行虚假纳税申报，少缴增值税等税费款103.76万元。2025年11月，百色市税务局第三稽查局依法对其作出追缴税费款、加收滞纳金并处罚款共计252.16万元的处理处罚决定。目前，涉案税费款、滞纳金及罚款均已追缴入库。</w:t>
      </w:r>
    </w:p>
    <w:p w14:paraId="11CBBE67" w14:textId="77777777" w:rsidR="007F77F7" w:rsidRDefault="00000000">
      <w:pPr>
        <w:pStyle w:val="a3"/>
        <w:ind w:firstLine="560"/>
        <w:rPr>
          <w:rFonts w:hint="eastAsia"/>
          <w:lang w:eastAsia="zh-CN"/>
        </w:rPr>
      </w:pPr>
      <w:r>
        <w:rPr>
          <w:rFonts w:hint="eastAsia"/>
          <w:lang w:eastAsia="zh-CN"/>
        </w:rPr>
        <w:t>数据筛查预警，经营异常凸显偷税疑点。百色市税务局第三稽查局依托税收大数据分析，发现德保县德能加油站近年来多次触发涉税风险</w:t>
      </w:r>
      <w:r>
        <w:rPr>
          <w:rFonts w:hint="eastAsia"/>
          <w:lang w:eastAsia="zh-CN"/>
        </w:rPr>
        <w:lastRenderedPageBreak/>
        <w:t>预警。通过专项数据分析发现，2022年至2024年，该加油站耗电量与申报的销售收入严重不匹配，耗电量远远高于同区域同等规模加油站，申报收入却明显偏低。为核实疑点，检查人员向当地供电局调取该加油站用电数据及电费发票，经比对该加油站用电设备合规、用电记录真实。用电数据真实可信，申报收入却与耗电量严重背离，检查人员怀疑，该加油站可能存在隐瞒销售收入的违法行为。</w:t>
      </w:r>
    </w:p>
    <w:p w14:paraId="505427C5" w14:textId="77777777" w:rsidR="007F77F7" w:rsidRDefault="00000000">
      <w:pPr>
        <w:pStyle w:val="a3"/>
        <w:ind w:firstLine="560"/>
        <w:rPr>
          <w:rFonts w:hint="eastAsia"/>
          <w:lang w:eastAsia="zh-CN"/>
        </w:rPr>
      </w:pPr>
      <w:r>
        <w:rPr>
          <w:rFonts w:hint="eastAsia"/>
          <w:lang w:eastAsia="zh-CN"/>
        </w:rPr>
        <w:t>进一步分析核查中，检查人员注意到，该加油站地处城市主干道与城郊结合处，紧邻工业园区，毗邻国道，车流量稳定、客源充足，具备良好的经营盈利条件。按照常理，这样一个车流不断、客源充足的加油站，销售收入也应当比较稳定，然而其申报销售收入却波动极大，且明显低于同区域同行业平均水平。为了解开疑惑，检查人员对该加油站进行暗访，发现该加油站二维码收款方竟然是个人，而非加油站对公账户。针对上述异常情况，百色市税务局第三稽查局依法对德保县德能加油站立案检查。</w:t>
      </w:r>
    </w:p>
    <w:p w14:paraId="47868CCE" w14:textId="77777777" w:rsidR="007F77F7" w:rsidRDefault="00000000">
      <w:pPr>
        <w:pStyle w:val="a3"/>
        <w:ind w:firstLine="560"/>
        <w:rPr>
          <w:rFonts w:hint="eastAsia"/>
          <w:lang w:eastAsia="zh-CN"/>
        </w:rPr>
      </w:pPr>
      <w:r>
        <w:rPr>
          <w:rFonts w:hint="eastAsia"/>
          <w:lang w:eastAsia="zh-CN"/>
        </w:rPr>
        <w:t>全面溯源取证，完整证据链还原违法事实。依据已有线索，检查人员迅速行动，以员工为突破口，对该加油站12名在职、离职员工开展全覆盖询问，耐心讲解政策规定和法律后果，逐步突破相关人员心理防线，多名员工承认曾以自己个人账户收取油款。但该加油站法定代表人邓壮业却坚称，加油站仅指定一名员工合规收款，所有经营收入均已入账申报。为彻底查清案件事实，检查人员依法调取该加油站对公账户、法定代表人私人银行账户，以及该加油站在职及近三年离职的所有员工私人银行账户流水、第三方收款平台全部收款结算提现数据。</w:t>
      </w:r>
    </w:p>
    <w:p w14:paraId="0FD48551" w14:textId="77777777" w:rsidR="007F77F7" w:rsidRDefault="00000000">
      <w:pPr>
        <w:pStyle w:val="a3"/>
        <w:ind w:firstLine="560"/>
        <w:rPr>
          <w:rFonts w:hint="eastAsia"/>
          <w:lang w:eastAsia="zh-CN"/>
        </w:rPr>
      </w:pPr>
      <w:r>
        <w:rPr>
          <w:rFonts w:hint="eastAsia"/>
          <w:lang w:eastAsia="zh-CN"/>
        </w:rPr>
        <w:t>经过检查人员的仔细甄别、比对分析，最终完整还原了该加油站隐匿收入的两大路径：一是全员归集、现金补账。该加油站所有员工均参与账外收款，日常收取各类加油款项后，每日交班前统一归集至加油站实际控制人林剑滨的微信账户，林剑滨再将部分油款提现后交由加油站法定代表人邓壮业以现金形式存入企业对公账户。二是平台分流、私账结算。第三方收款平台按照公开协议将部分收款划转至加油站对公账户，</w:t>
      </w:r>
      <w:r>
        <w:rPr>
          <w:rFonts w:hint="eastAsia"/>
          <w:lang w:eastAsia="zh-CN"/>
        </w:rPr>
        <w:lastRenderedPageBreak/>
        <w:t>同时依据私下补充协议，将剩余部分经营款项直接结算至林剑滨个人银行账户，不计入账簿、不进行纳税申报。</w:t>
      </w:r>
    </w:p>
    <w:p w14:paraId="670B3D07" w14:textId="77777777" w:rsidR="007F77F7" w:rsidRDefault="00000000">
      <w:pPr>
        <w:pStyle w:val="a3"/>
        <w:ind w:firstLine="560"/>
        <w:rPr>
          <w:rFonts w:hint="eastAsia"/>
          <w:lang w:eastAsia="zh-CN"/>
        </w:rPr>
      </w:pPr>
      <w:r>
        <w:rPr>
          <w:rFonts w:hint="eastAsia"/>
          <w:lang w:eastAsia="zh-CN"/>
        </w:rPr>
        <w:t>机关算尽难逃法网，账外收入终被依法查处。在完整的证据链条面前，加油站法定代表人邓壮业无从辩驳，最终如实供述，承认通过员工个人银行账户收款、第三方收款平台私分结算、隐匿销售收入的违法事实。</w:t>
      </w:r>
    </w:p>
    <w:p w14:paraId="3531361F" w14:textId="77777777" w:rsidR="007F77F7" w:rsidRDefault="00000000">
      <w:pPr>
        <w:pStyle w:val="a3"/>
        <w:ind w:firstLine="560"/>
        <w:rPr>
          <w:rFonts w:hint="eastAsia"/>
          <w:lang w:eastAsia="zh-CN"/>
        </w:rPr>
      </w:pPr>
      <w:r>
        <w:rPr>
          <w:rFonts w:hint="eastAsia"/>
          <w:lang w:eastAsia="zh-CN"/>
        </w:rPr>
        <w:t>经查实，德保县德能加油站2022年至2024年间隐匿销售收入713.54万元，未纳入财务核算、未进行纳税申报，少缴增值税等税费款103.76万元。</w:t>
      </w:r>
    </w:p>
    <w:p w14:paraId="3BF6116A" w14:textId="77777777" w:rsidR="007F77F7" w:rsidRDefault="00000000">
      <w:pPr>
        <w:pStyle w:val="a3"/>
        <w:ind w:firstLine="560"/>
        <w:rPr>
          <w:rFonts w:hint="eastAsia"/>
          <w:lang w:eastAsia="zh-CN"/>
        </w:rPr>
      </w:pPr>
      <w:r>
        <w:rPr>
          <w:rFonts w:hint="eastAsia"/>
          <w:lang w:eastAsia="zh-CN"/>
        </w:rPr>
        <w:t>根据《中华人民共和国税收征收管理法》第六十三条第一款规定：纳税人伪造、变造、隐匿、擅自销毁账簿、记账凭证，或者在账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w:t>
      </w:r>
    </w:p>
    <w:p w14:paraId="6A06D44A" w14:textId="77777777" w:rsidR="007F77F7" w:rsidRDefault="00000000">
      <w:pPr>
        <w:pStyle w:val="a3"/>
        <w:ind w:firstLine="560"/>
        <w:rPr>
          <w:rFonts w:hint="eastAsia"/>
          <w:lang w:eastAsia="zh-CN"/>
        </w:rPr>
      </w:pPr>
      <w:r>
        <w:rPr>
          <w:rFonts w:hint="eastAsia"/>
          <w:lang w:eastAsia="zh-CN"/>
        </w:rPr>
        <w:t>2025年11月，百色市税务局第三稽查局依法对其作出追缴税费款、加收滞纳金并处罚款共计252.16万元的处理处罚决定。目前，涉案税费款、滞纳金及罚款均已追缴入库。</w:t>
      </w:r>
    </w:p>
    <w:p w14:paraId="230B1159" w14:textId="77777777" w:rsidR="007F77F7" w:rsidRDefault="00000000">
      <w:pPr>
        <w:pStyle w:val="a3"/>
        <w:ind w:firstLine="560"/>
        <w:rPr>
          <w:rFonts w:hint="eastAsia"/>
          <w:lang w:eastAsia="zh-CN"/>
        </w:rPr>
      </w:pPr>
      <w:r>
        <w:rPr>
          <w:rFonts w:hint="eastAsia"/>
          <w:lang w:eastAsia="zh-CN"/>
        </w:rPr>
        <w:t>律师视角：本案有三点值得企业警醒。一是“两套账”“体外循环”难以长期存续。以员工个人账户、第三方收款平台私账结算经营性款项，在税收大数据与资金流穿透比对面前终将暴露。二是账簿凭证少列收入属于偷税，将面临不缴或者少缴税款百分之五十以上五倍以下的罚款，情节严重的还将被追究刑事责任。三是以个人账户（含微信、支付宝等第三方支付工具）收取经营性款项，是当前税务稽查与刑事风险的高发领域，企业应从制度上明确禁止并定期核查收款渠道与对账记录。</w:t>
      </w:r>
    </w:p>
    <w:p w14:paraId="7AA53D79" w14:textId="77777777" w:rsidR="007F77F7" w:rsidRDefault="00000000">
      <w:pPr>
        <w:spacing w:line="360" w:lineRule="auto"/>
        <w:ind w:firstLine="560"/>
        <w:jc w:val="left"/>
        <w:rPr>
          <w:lang w:eastAsia="zh-CN"/>
        </w:rPr>
      </w:pPr>
      <w:r>
        <w:rPr>
          <w:rFonts w:hint="eastAsia"/>
          <w:lang w:eastAsia="zh-CN"/>
        </w:rPr>
        <w:t>来源：国家税务总局广西壮族自治区税务局</w:t>
      </w:r>
    </w:p>
    <w:p w14:paraId="3034495D" w14:textId="77777777" w:rsidR="007F77F7" w:rsidRDefault="00000000">
      <w:pPr>
        <w:spacing w:line="360" w:lineRule="auto"/>
        <w:ind w:firstLine="560"/>
        <w:jc w:val="left"/>
        <w:rPr>
          <w:lang w:eastAsia="zh-CN"/>
        </w:rPr>
      </w:pPr>
      <w:r>
        <w:rPr>
          <w:rFonts w:hint="eastAsia"/>
          <w:lang w:eastAsia="zh-CN"/>
        </w:rPr>
        <w:t>时间：</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22</w:t>
      </w:r>
      <w:r>
        <w:rPr>
          <w:rFonts w:hint="eastAsia"/>
          <w:lang w:eastAsia="zh-CN"/>
        </w:rPr>
        <w:t>日</w:t>
      </w:r>
    </w:p>
    <w:p w14:paraId="60EF38BE" w14:textId="77777777" w:rsidR="007F77F7" w:rsidRDefault="00000000">
      <w:pPr>
        <w:spacing w:line="360" w:lineRule="auto"/>
        <w:ind w:firstLine="560"/>
        <w:rPr>
          <w:lang w:eastAsia="zh-CN"/>
        </w:rPr>
      </w:pPr>
      <w:r>
        <w:rPr>
          <w:rFonts w:hint="eastAsia"/>
          <w:lang w:eastAsia="zh-CN"/>
        </w:rPr>
        <w:lastRenderedPageBreak/>
        <w:t>链接：</w:t>
      </w:r>
      <w:r>
        <w:rPr>
          <w:rFonts w:hint="eastAsia"/>
          <w:lang w:eastAsia="zh-CN"/>
        </w:rPr>
        <w:t>https://guangxi.chinatax.gov.cn/xwdt/swxw/202609/t20260922_440405.html</w:t>
      </w:r>
    </w:p>
    <w:p w14:paraId="5460C78F" w14:textId="77777777" w:rsidR="007F77F7" w:rsidRDefault="00000000">
      <w:pPr>
        <w:pStyle w:val="2"/>
        <w:spacing w:before="140" w:after="140" w:line="360" w:lineRule="auto"/>
        <w:ind w:firstLine="600"/>
        <w:rPr>
          <w:lang w:eastAsia="zh-CN"/>
        </w:rPr>
      </w:pPr>
      <w:r>
        <w:rPr>
          <w:rFonts w:hint="eastAsia"/>
          <w:lang w:eastAsia="zh-CN"/>
        </w:rPr>
        <w:t>（二）广西公布一批涉税违法犯罪典型案例</w:t>
      </w:r>
    </w:p>
    <w:p w14:paraId="1FD4A06D" w14:textId="77777777" w:rsidR="007F77F7" w:rsidRDefault="00000000">
      <w:pPr>
        <w:pStyle w:val="a3"/>
        <w:ind w:firstLine="560"/>
        <w:rPr>
          <w:rFonts w:hint="eastAsia"/>
          <w:lang w:eastAsia="zh-CN"/>
        </w:rPr>
      </w:pPr>
      <w:r>
        <w:rPr>
          <w:rFonts w:hint="eastAsia"/>
          <w:lang w:eastAsia="zh-CN"/>
        </w:rPr>
        <w:t>9月22日，广西壮族自治区人民政府新闻办公室举行优化营商环境加大打击涉税违法行为新闻发布会，介绍广西优化营商环境加大打击涉税违法行为情况，公布一批涉税违法犯罪典型案例。</w:t>
      </w:r>
    </w:p>
    <w:p w14:paraId="3B1B4985" w14:textId="77777777" w:rsidR="007F77F7" w:rsidRDefault="00000000">
      <w:pPr>
        <w:pStyle w:val="a3"/>
        <w:ind w:firstLine="560"/>
        <w:rPr>
          <w:rFonts w:hint="eastAsia"/>
          <w:lang w:eastAsia="zh-CN"/>
        </w:rPr>
      </w:pPr>
      <w:r>
        <w:rPr>
          <w:rFonts w:hint="eastAsia"/>
          <w:lang w:eastAsia="zh-CN"/>
        </w:rPr>
        <w:t>一、国家税务总局来宾市税务局稽查局联合公安机关依法查处来宾市达才木业有限责任公司虚开增值税发票案件。经查，2022年8月至2023年4月，来宾市达才木业有限责任公司在没有真实业务发生的情况下，为其自身虚开农产品收购发票，用以抵扣增值税进项税额及企业所得税税前扣除，并对外虚开增值税专用发票赚取非法利益。该企业厂区坐落乡镇外围偏僻区域、进出道路狭窄，生产仅是将原木裁成不同规格的木条及木方，工序单一、加工模式粗放，但其开票销售客户却广布全国各地，呈现“深藏腹地、工艺简单、去向遥远”的反常特征；且该企业自2022年开业至2023年，无论淡季旺季、销售额高低，每月增值税税负率始终恒定1.8%，人为调控迹象明显。检查发现，其农产品收购发票所载人员身份证有70%属外省，部分所谓“供货商”实际经营其他行业，并无木材采伐、原木供应能力，甚至与涉案企业素不相识；在下游环节，下游企业将“货款”汇入该公司对公账户后，该公司即按4%扣除“手续费”，剩余资金经3至6个个人账户中转，再由这些个人将资金回流至下游企业实际控制人或其关联方账户，形成隐蔽但完整的资金回流闭环。2024年3月，税务部门依据《中华人民共和国发票管理办法》等相关法律法规规定，对该公司开具的116份增值税专用发票、58份农产品收购发票认定为虚开。2025年5月，该公司法定代表人蒙永富因犯虚开增值税专用发票罪，被判处有期徒刑三年二个月，并处罚金人民币十万元。同时，税务部门已依法对22户下游受票企业开展调查核实或立案检查。</w:t>
      </w:r>
    </w:p>
    <w:p w14:paraId="20E03794" w14:textId="77777777" w:rsidR="007F77F7" w:rsidRDefault="00000000">
      <w:pPr>
        <w:pStyle w:val="a3"/>
        <w:ind w:firstLine="560"/>
        <w:rPr>
          <w:rFonts w:hint="eastAsia"/>
          <w:lang w:eastAsia="zh-CN"/>
        </w:rPr>
      </w:pPr>
      <w:r>
        <w:rPr>
          <w:rFonts w:hint="eastAsia"/>
          <w:lang w:eastAsia="zh-CN"/>
        </w:rPr>
        <w:lastRenderedPageBreak/>
        <w:t>二、国家税务总局百色市税务局第三稽查局依法查处德保县德能加油站隐匿收入偷税案件。经查，2022年至2024年，德保县德能加油站通过个人银行账户收款、在账簿凭证上少列收入等手段隐匿销售收入进行虚假纳税申报，少缴增值税等税费款103.76万元。2025年11月，税务部门依据《中华人民共和国税收征收管理法》等相关法律法规，对德保县德能加油站作出追缴税费、加收滞纳金并处罚款共计252.16万元的处理处罚决定。目前，涉案税款、滞纳金及罚款均已追缴入库。</w:t>
      </w:r>
    </w:p>
    <w:p w14:paraId="54C0EE73" w14:textId="77777777" w:rsidR="007F77F7" w:rsidRDefault="00000000">
      <w:pPr>
        <w:pStyle w:val="a3"/>
        <w:ind w:firstLine="560"/>
        <w:rPr>
          <w:rFonts w:hint="eastAsia"/>
          <w:lang w:eastAsia="zh-CN"/>
        </w:rPr>
      </w:pPr>
      <w:r>
        <w:rPr>
          <w:rFonts w:hint="eastAsia"/>
          <w:lang w:eastAsia="zh-CN"/>
        </w:rPr>
        <w:t>三、国家税务总局防城港市税务局稽查局依法查处防城港捷康生物科技有限公司偷税案件。经查，2021年至2023年，防城港捷康生物科技有限公司通过账外经营、隐匿收入、未按规定申报等方式，少缴增值税等税费款323.89万元。检查中发现的细节颇具典型性：该公司在自查阶段曾主动补缴房产税、城镇土地使用税等税款171.01万元，但其账簿“其他应付款”科目存在大额挂账，往来对象主要为法定代表人，与该公司所称“股东借款”明显不符；检查人员循资金流向追踪，发现该公司出纳员私人账户与对公账户存在高频、大额资金往来，部分转账流水摘要竟直接显示为“货款”，最终查实其用出纳员银行账户收取货款、隐匿未开票收入未依法申报纳税的违法事实。2025年2月，税务部门依据《中华人民共和国税收征收管理法》等法律法规，对其作出追缴税费款、加收滞纳金并处罚款共计538.60万元的处理处罚决定。目前，涉案税费款、滞纳金及罚款均已追缴入库。</w:t>
      </w:r>
    </w:p>
    <w:p w14:paraId="088888C6" w14:textId="77777777" w:rsidR="007F77F7" w:rsidRDefault="00000000">
      <w:pPr>
        <w:pStyle w:val="a3"/>
        <w:ind w:firstLine="560"/>
        <w:rPr>
          <w:rFonts w:hint="eastAsia"/>
          <w:lang w:eastAsia="zh-CN"/>
        </w:rPr>
      </w:pPr>
      <w:r>
        <w:rPr>
          <w:rFonts w:hint="eastAsia"/>
          <w:lang w:eastAsia="zh-CN"/>
        </w:rPr>
        <w:t>四、来宾市公安机关和税务部门联合查处的冯某（另案处理）、黄某、莫某等人虚开增值税专用发票案。经查，2019年，冯某、黄某等人在来宾市注册成立2家公司，由莫某担任财务主管，上述公司在无真实业务交易的情况下向广西区内外多家下游企业虚开增值税专用发票，价税合计4.5亿元、税额5800余万元。2026年1月，来宾市中级人民法院一审以虚开增值税专用发票罪判处黄某有期徒刑十三年并处罚金人民币30万元、莫某有期徒刑五年并处罚金人民币5万元；同年5月，自治区高级人民法院终审裁定维持黄某原判，改判莫某有期徒刑四年并处罚金人民币5万元。</w:t>
      </w:r>
    </w:p>
    <w:p w14:paraId="78F3C2FB" w14:textId="77777777" w:rsidR="007F77F7" w:rsidRDefault="00000000">
      <w:pPr>
        <w:pStyle w:val="a3"/>
        <w:ind w:firstLine="560"/>
        <w:rPr>
          <w:rFonts w:hint="eastAsia"/>
          <w:lang w:eastAsia="zh-CN"/>
        </w:rPr>
      </w:pPr>
      <w:r>
        <w:rPr>
          <w:rFonts w:hint="eastAsia"/>
          <w:lang w:eastAsia="zh-CN"/>
        </w:rPr>
        <w:lastRenderedPageBreak/>
        <w:t>五、由空壳公司引发的虚开增值税专用发票案件。2022年，杨某等人在北海市成立两家空壳公司，先后向没有实际业务的多家下游公司虚开增值税专用发票共266份、税额合计328.46万元。2025年3月，北海市海城区人民法院以虚开增值税专用发票罪分别判处杨某等4人有期徒刑十年四个月至一年二个月，并处罚金30万元至3万元不等的刑罚。</w:t>
      </w:r>
    </w:p>
    <w:p w14:paraId="3A8C1A15" w14:textId="77777777" w:rsidR="007F77F7" w:rsidRDefault="00000000">
      <w:pPr>
        <w:pStyle w:val="a3"/>
        <w:ind w:firstLine="560"/>
        <w:rPr>
          <w:rFonts w:hint="eastAsia"/>
          <w:lang w:eastAsia="zh-CN"/>
        </w:rPr>
      </w:pPr>
      <w:r>
        <w:rPr>
          <w:rFonts w:hint="eastAsia"/>
          <w:lang w:eastAsia="zh-CN"/>
        </w:rPr>
        <w:t>据介绍，今年以来，全区法院先后审结了一批重大涉税犯罪案件，对组织化、职业化实施涉税犯罪，以及恶意转移财产逃避追缴欠税等严重危害国家税收征管秩序的行为，依法从严把握量刑尺度，依法并处罚金，同时坚决追缴违法所得，最大限度挽回国家税款损失。2025年6月至2026年8月，共审结涉税犯罪案件71件159人，其中判处五年以上有期徒刑37人，重刑率23.27%，适用罚金刑133人。今年1—8月全区共立案检查打击虚开骗税企业3062户，查补税款、滞纳金及罚款合计3.62亿元；立案检查涉嫌骗取出口退税企业25户，挽回税款损失742.27万元，追回已退税款551.55万元，入库收入333.07万元。</w:t>
      </w:r>
    </w:p>
    <w:p w14:paraId="2BD17E0F" w14:textId="77777777" w:rsidR="007F77F7" w:rsidRDefault="00000000">
      <w:pPr>
        <w:pStyle w:val="a3"/>
        <w:ind w:firstLine="560"/>
        <w:rPr>
          <w:rFonts w:hint="eastAsia"/>
          <w:lang w:eastAsia="zh-CN"/>
        </w:rPr>
      </w:pPr>
      <w:r>
        <w:rPr>
          <w:rFonts w:hint="eastAsia"/>
          <w:lang w:eastAsia="zh-CN"/>
        </w:rPr>
        <w:t>律师视角：五起案件分别呈现“私户收款隐匿收入”“税负率恒定虚开”“账外经营偷税”“无真实交易虚开”“空壳公司虚开”等典型涉税违法形态，其共同点在于“票、货、款、合同”四流不一致。当前税务稽查已形成“税务＋公安”联合办案、发票链上下溯源、资金流穿透核对的成熟打法，企业及涉税专业服务机构应当对四流一致性保持高度敏感，避免因客户或供应商的违法安排而被牵连核查。</w:t>
      </w:r>
    </w:p>
    <w:p w14:paraId="1EDDC48B" w14:textId="77777777" w:rsidR="007F77F7" w:rsidRDefault="00000000">
      <w:pPr>
        <w:spacing w:line="360" w:lineRule="auto"/>
        <w:ind w:firstLine="560"/>
        <w:rPr>
          <w:lang w:eastAsia="zh-CN"/>
        </w:rPr>
      </w:pPr>
      <w:r>
        <w:rPr>
          <w:rFonts w:hint="eastAsia"/>
          <w:lang w:eastAsia="zh-CN"/>
        </w:rPr>
        <w:t>来源：广西壮族自治区人民政府新闻办公室　广西法治日报</w:t>
      </w:r>
    </w:p>
    <w:p w14:paraId="3CC9B9B9" w14:textId="77777777" w:rsidR="007F77F7" w:rsidRDefault="00000000">
      <w:pPr>
        <w:spacing w:line="360" w:lineRule="auto"/>
        <w:ind w:firstLine="560"/>
        <w:rPr>
          <w:lang w:eastAsia="zh-CN"/>
        </w:rPr>
      </w:pPr>
      <w:r>
        <w:rPr>
          <w:rFonts w:hint="eastAsia"/>
          <w:lang w:eastAsia="zh-CN"/>
        </w:rPr>
        <w:t>时间：</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22</w:t>
      </w:r>
      <w:r>
        <w:rPr>
          <w:rFonts w:hint="eastAsia"/>
          <w:lang w:eastAsia="zh-CN"/>
        </w:rPr>
        <w:t>日</w:t>
      </w:r>
    </w:p>
    <w:p w14:paraId="21E6D503" w14:textId="77777777" w:rsidR="007F77F7" w:rsidRDefault="00000000">
      <w:pPr>
        <w:spacing w:line="360" w:lineRule="auto"/>
        <w:ind w:firstLine="560"/>
        <w:rPr>
          <w:lang w:eastAsia="zh-CN"/>
        </w:rPr>
      </w:pPr>
      <w:r>
        <w:rPr>
          <w:rFonts w:hint="eastAsia"/>
          <w:lang w:eastAsia="zh-CN"/>
        </w:rPr>
        <w:t>链接：</w:t>
      </w:r>
      <w:r>
        <w:rPr>
          <w:rFonts w:hint="eastAsia"/>
          <w:lang w:eastAsia="zh-CN"/>
        </w:rPr>
        <w:t>http://chinapeace.gov.cn/chinapeace/c100056/2026-09/22/content_12857732.shtml</w:t>
      </w:r>
    </w:p>
    <w:p w14:paraId="2F868FA9" w14:textId="77777777" w:rsidR="007F77F7" w:rsidRDefault="00000000">
      <w:pPr>
        <w:pStyle w:val="1"/>
        <w:ind w:firstLine="640"/>
        <w:rPr>
          <w:rFonts w:hint="eastAsia"/>
        </w:rPr>
      </w:pPr>
      <w:r>
        <w:rPr>
          <w:rFonts w:hint="eastAsia"/>
        </w:rPr>
        <w:t>五、税务合规探索</w:t>
      </w:r>
    </w:p>
    <w:p w14:paraId="58420961" w14:textId="77777777" w:rsidR="007F77F7" w:rsidRDefault="00000000">
      <w:pPr>
        <w:pStyle w:val="2"/>
        <w:spacing w:before="140" w:after="140" w:line="360" w:lineRule="auto"/>
        <w:ind w:firstLine="600"/>
        <w:rPr>
          <w:lang w:eastAsia="zh-CN"/>
        </w:rPr>
      </w:pPr>
      <w:r>
        <w:rPr>
          <w:rFonts w:hint="eastAsia"/>
          <w:lang w:eastAsia="zh-CN"/>
        </w:rPr>
        <w:lastRenderedPageBreak/>
        <w:t>（一）长三角税务部门联合发布“交易即开票”试点企业税务合规典型案例</w:t>
      </w:r>
    </w:p>
    <w:p w14:paraId="786EB6E9" w14:textId="77777777" w:rsidR="007F77F7" w:rsidRDefault="00000000">
      <w:pPr>
        <w:spacing w:line="360" w:lineRule="auto"/>
        <w:ind w:firstLine="560"/>
        <w:rPr>
          <w:lang w:eastAsia="zh-CN"/>
        </w:rPr>
      </w:pPr>
      <w:r>
        <w:rPr>
          <w:rFonts w:hint="eastAsia"/>
          <w:lang w:eastAsia="zh-CN"/>
        </w:rPr>
        <w:t>“交易即开票”是税务部门顺应经济社会数字化快速发展推出的创新服务举措，该模式可在交易完成时，由系统自动预填、即时开具并向消费者推送数字化电子发票，可有效解决发票管理中存在的“不开票、开票难、富余票”等问题。近日，长三角税务部门聚焦终端消费高频场景，联合发布“交易即开票”试点企业税务合规典型案例，引导广大经营主体夯实合规根基，护航高质量发展。</w:t>
      </w:r>
    </w:p>
    <w:p w14:paraId="4A6BFF55" w14:textId="77777777" w:rsidR="007F77F7" w:rsidRDefault="00000000">
      <w:pPr>
        <w:spacing w:line="360" w:lineRule="auto"/>
        <w:ind w:firstLine="560"/>
        <w:rPr>
          <w:lang w:eastAsia="zh-CN"/>
        </w:rPr>
      </w:pPr>
      <w:r>
        <w:rPr>
          <w:rFonts w:hint="eastAsia"/>
          <w:lang w:eastAsia="zh-CN"/>
        </w:rPr>
        <w:t>案例一：上海中纺机汽车服务有限公司搭建“加油即开票”一站式零售税务合规经营体系。该公司深耕成品油零售主业，融合汽修汽美、便民商超等多元业态，打造一站式综合服务模式。为解决传统人工开票流程繁琐，以及资金流、货物流、发票流无法同步匹配等痛点，企业主动对接税务部门，完成全场景“加油即开票”数字化升级，严格落实“一笔加油交易、一张对应发票、一次精准数据匹配”标准。车主通过电子账户或第三方支付完成支付后，系统自动预填交易信息开具数电发票，消费者可一键取票。依托该机制，企业搭建“交易—开票—核算—申报”数据闭环，实现加油订单与发票精准匹配，系统实时校验三流数据一致性，全程留痕可追溯，从源头防范成品油零售涉税风险，实现了合规经营与服务质效的双向提升。</w:t>
      </w:r>
    </w:p>
    <w:p w14:paraId="2C2F2EEE" w14:textId="77777777" w:rsidR="007F77F7" w:rsidRDefault="00000000">
      <w:pPr>
        <w:spacing w:line="360" w:lineRule="auto"/>
        <w:ind w:firstLine="560"/>
        <w:rPr>
          <w:lang w:eastAsia="zh-CN"/>
        </w:rPr>
      </w:pPr>
      <w:r>
        <w:rPr>
          <w:rFonts w:hint="eastAsia"/>
          <w:lang w:eastAsia="zh-CN"/>
        </w:rPr>
        <w:t>案例二：杭州宜格化妆品有限公司上线“下单即开票”自动开票模式。该公司旗下拥有“花西子”等美妆品牌，其天猫旗舰店在“双</w:t>
      </w:r>
      <w:r>
        <w:rPr>
          <w:rFonts w:hint="eastAsia"/>
          <w:lang w:eastAsia="zh-CN"/>
        </w:rPr>
        <w:t>11</w:t>
      </w:r>
      <w:r>
        <w:rPr>
          <w:rFonts w:hint="eastAsia"/>
          <w:lang w:eastAsia="zh-CN"/>
        </w:rPr>
        <w:t>”“</w:t>
      </w:r>
      <w:r>
        <w:rPr>
          <w:rFonts w:hint="eastAsia"/>
          <w:lang w:eastAsia="zh-CN"/>
        </w:rPr>
        <w:t>618</w:t>
      </w:r>
      <w:r>
        <w:rPr>
          <w:rFonts w:hint="eastAsia"/>
          <w:lang w:eastAsia="zh-CN"/>
        </w:rPr>
        <w:t>”等大促期间面临订单量爆发增长、传统人工开票效率低的难题。依托“乐企”平台与天猫平台的数据直连，企业上线“下单即开票”模式，在消费者支付成功的瞬间，系统即自动预填信息并完成发票开具与推送，峰值时段即使每秒数千单也能顺畅出票。该模式实施以来，企业已累计开具发票</w:t>
      </w:r>
      <w:r>
        <w:rPr>
          <w:rFonts w:hint="eastAsia"/>
          <w:lang w:eastAsia="zh-CN"/>
        </w:rPr>
        <w:t>418</w:t>
      </w:r>
      <w:r>
        <w:rPr>
          <w:rFonts w:hint="eastAsia"/>
          <w:lang w:eastAsia="zh-CN"/>
        </w:rPr>
        <w:t>万张、金额</w:t>
      </w:r>
      <w:r>
        <w:rPr>
          <w:rFonts w:hint="eastAsia"/>
          <w:lang w:eastAsia="zh-CN"/>
        </w:rPr>
        <w:t>10</w:t>
      </w:r>
      <w:r>
        <w:rPr>
          <w:rFonts w:hint="eastAsia"/>
          <w:lang w:eastAsia="zh-CN"/>
        </w:rPr>
        <w:t>亿元，发票相关投诉量较上线前下降</w:t>
      </w:r>
      <w:r>
        <w:rPr>
          <w:rFonts w:hint="eastAsia"/>
          <w:lang w:eastAsia="zh-CN"/>
        </w:rPr>
        <w:lastRenderedPageBreak/>
        <w:t>超过</w:t>
      </w:r>
      <w:r>
        <w:rPr>
          <w:rFonts w:hint="eastAsia"/>
          <w:lang w:eastAsia="zh-CN"/>
        </w:rPr>
        <w:t>15%</w:t>
      </w:r>
      <w:r>
        <w:rPr>
          <w:rFonts w:hint="eastAsia"/>
          <w:lang w:eastAsia="zh-CN"/>
        </w:rPr>
        <w:t>，在提升店铺评分与消费者满意度的同时，为品牌长期合规经营打下坚实基础。</w:t>
      </w:r>
    </w:p>
    <w:p w14:paraId="29282C24" w14:textId="77777777" w:rsidR="007F77F7" w:rsidRDefault="00000000">
      <w:pPr>
        <w:spacing w:line="360" w:lineRule="auto"/>
        <w:ind w:firstLine="560"/>
        <w:rPr>
          <w:lang w:eastAsia="zh-CN"/>
        </w:rPr>
      </w:pPr>
      <w:r>
        <w:rPr>
          <w:rFonts w:hint="eastAsia"/>
          <w:lang w:eastAsia="zh-CN"/>
        </w:rPr>
        <w:t>案例三：宁波和丰创意广场投资经营有限公司推行“停车缴费即开票”智慧停车标准化数据治理。该公司运营的和丰创意广场是全国首批“小微企业创新创业示范基地”，日常车流量大、临停开票需求密集。企业主动对接税务部门，基于原有智慧停车系统进行深度自动化改造，从数据接口标准化入手，统一采集车牌、时长、金额等核心信息，在车辆离场生成订单时同步完成数据校验，从源头上杜绝数据偏差。自应用上线以来，累计开具发票</w:t>
      </w:r>
      <w:r>
        <w:rPr>
          <w:rFonts w:hint="eastAsia"/>
          <w:lang w:eastAsia="zh-CN"/>
        </w:rPr>
        <w:t>5.2</w:t>
      </w:r>
      <w:r>
        <w:rPr>
          <w:rFonts w:hint="eastAsia"/>
          <w:lang w:eastAsia="zh-CN"/>
        </w:rPr>
        <w:t>万份，停车场关于发票开具的投诉量明显下降，并带动周边多个商业体主动申请接入同类场景。</w:t>
      </w:r>
    </w:p>
    <w:p w14:paraId="05322617" w14:textId="77777777" w:rsidR="007F77F7" w:rsidRDefault="00000000">
      <w:pPr>
        <w:spacing w:line="360" w:lineRule="auto"/>
        <w:ind w:firstLine="560"/>
        <w:rPr>
          <w:lang w:eastAsia="zh-CN"/>
        </w:rPr>
      </w:pPr>
      <w:r>
        <w:rPr>
          <w:rFonts w:hint="eastAsia"/>
          <w:lang w:eastAsia="zh-CN"/>
        </w:rPr>
        <w:t>案例四：铜陵博爱医院有限公司打通诊疗“缴费即开票”数据通道。铜陵博爱医院是安徽省铜陵市级民营二级综合性医疗机构，日常缴费频次高、业务零散。此前，医院收费系统与开票系统相互独立，不仅完全依靠人工，效率不高，还潜藏发票漏开错开、数据比对不符等涉税风险。医院主动对接税务部门，结合医疗行业特点开展定制化系统升级改造，打通诊疗结算系统、全渠道收费终端与开票系统数据链路，构建诊疗缴费、发票开具、票据推送一体化联动机制。自“交易即开票”实施以来，医院已开具发票近</w:t>
      </w:r>
      <w:r>
        <w:rPr>
          <w:rFonts w:hint="eastAsia"/>
          <w:lang w:eastAsia="zh-CN"/>
        </w:rPr>
        <w:t>2</w:t>
      </w:r>
      <w:r>
        <w:rPr>
          <w:rFonts w:hint="eastAsia"/>
          <w:lang w:eastAsia="zh-CN"/>
        </w:rPr>
        <w:t>万张，开票金额</w:t>
      </w:r>
      <w:r>
        <w:rPr>
          <w:rFonts w:hint="eastAsia"/>
          <w:lang w:eastAsia="zh-CN"/>
        </w:rPr>
        <w:t>4900</w:t>
      </w:r>
      <w:r>
        <w:rPr>
          <w:rFonts w:hint="eastAsia"/>
          <w:lang w:eastAsia="zh-CN"/>
        </w:rPr>
        <w:t>万元，促进医疗服务体验优化与内部税务合规管理双提升。</w:t>
      </w:r>
    </w:p>
    <w:p w14:paraId="6FEBFEFE" w14:textId="77777777" w:rsidR="007F77F7" w:rsidRDefault="00000000">
      <w:pPr>
        <w:spacing w:line="360" w:lineRule="auto"/>
        <w:ind w:firstLine="560"/>
        <w:rPr>
          <w:lang w:eastAsia="zh-CN"/>
        </w:rPr>
      </w:pPr>
      <w:r>
        <w:rPr>
          <w:rFonts w:hint="eastAsia"/>
          <w:lang w:eastAsia="zh-CN"/>
        </w:rPr>
        <w:t>案例五：江苏同正医药连锁有限公司推行医药零售“交易即开票”场景。同正医药是江苏省内规模较大的医药零售企业，全市范围拥有</w:t>
      </w:r>
      <w:r>
        <w:rPr>
          <w:rFonts w:hint="eastAsia"/>
          <w:lang w:eastAsia="zh-CN"/>
        </w:rPr>
        <w:t>36</w:t>
      </w:r>
      <w:r>
        <w:rPr>
          <w:rFonts w:hint="eastAsia"/>
          <w:lang w:eastAsia="zh-CN"/>
        </w:rPr>
        <w:t>家门店，日均交易量超万笔。针对零售药店支付、自费购药等复杂场景，税务部门协同企业梳理业务流程，依托乐企平台实现交易与开票自动集成，覆盖全市所有门店全面落地“交易即开票”功能，构建起“交易完成—数据触发—平台开票—客户获取”的闭环管理模式。自上线以来，</w:t>
      </w:r>
      <w:r>
        <w:rPr>
          <w:rFonts w:hint="eastAsia"/>
          <w:lang w:eastAsia="zh-CN"/>
        </w:rPr>
        <w:lastRenderedPageBreak/>
        <w:t>人工开票工作量减少</w:t>
      </w:r>
      <w:r>
        <w:rPr>
          <w:rFonts w:hint="eastAsia"/>
          <w:lang w:eastAsia="zh-CN"/>
        </w:rPr>
        <w:t>80%</w:t>
      </w:r>
      <w:r>
        <w:rPr>
          <w:rFonts w:hint="eastAsia"/>
          <w:lang w:eastAsia="zh-CN"/>
        </w:rPr>
        <w:t>，未开票收入占比降至</w:t>
      </w:r>
      <w:r>
        <w:rPr>
          <w:rFonts w:hint="eastAsia"/>
          <w:lang w:eastAsia="zh-CN"/>
        </w:rPr>
        <w:t>2%</w:t>
      </w:r>
      <w:r>
        <w:rPr>
          <w:rFonts w:hint="eastAsia"/>
          <w:lang w:eastAsia="zh-CN"/>
        </w:rPr>
        <w:t>，同时实现了发票应开未开零投诉，全流程税务合规水平显著提升。</w:t>
      </w:r>
    </w:p>
    <w:p w14:paraId="4BA250C8" w14:textId="77777777" w:rsidR="007F77F7" w:rsidRDefault="00000000">
      <w:pPr>
        <w:spacing w:line="360" w:lineRule="auto"/>
        <w:ind w:firstLine="560"/>
        <w:rPr>
          <w:lang w:eastAsia="zh-CN"/>
        </w:rPr>
      </w:pPr>
      <w:r>
        <w:rPr>
          <w:rFonts w:hint="eastAsia"/>
          <w:lang w:eastAsia="zh-CN"/>
        </w:rPr>
        <w:t>“上述典型案例的发布，有利于引导经营主体主动适配智慧办税新范式，以合规经营护航自身高质量发展。”南京财经大学财政与税务学院教授程瑶认为，长三角地区税务部门依托智慧城市建设，运用数智化手段优化发票服务供给，走出了一条便民惠企、精细规范、寓管于服的特色路径，彰显了长三角税务部门以优质服务赋能企业规范发展的治理导向。</w:t>
      </w:r>
    </w:p>
    <w:p w14:paraId="2D01E1E6" w14:textId="77777777" w:rsidR="007F77F7" w:rsidRDefault="00000000">
      <w:pPr>
        <w:spacing w:line="360" w:lineRule="auto"/>
        <w:ind w:firstLine="560"/>
        <w:rPr>
          <w:lang w:eastAsia="zh-CN"/>
        </w:rPr>
      </w:pPr>
      <w:r>
        <w:rPr>
          <w:rFonts w:hint="eastAsia"/>
          <w:lang w:eastAsia="zh-CN"/>
        </w:rPr>
        <w:t>合规启示：五家案例企业的共同做法，是将开票环节嵌入交易完成的瞬间，以数字化手段实现“交易—开票—核算—申报”闭环。对零售、餐饮、停车、医疗等高频小额交易场景的企业而言，“交易即开票”既是纳税服务便利化举措，也客观上消除了漏开、错开发票的空间。律师在为企业设计开票内控机制时，可参考上述模式，将开票义务与收款动作绑定，从源头防范发票合规风险。</w:t>
      </w:r>
    </w:p>
    <w:p w14:paraId="3C43F4D8" w14:textId="77777777" w:rsidR="007F77F7" w:rsidRDefault="00000000">
      <w:pPr>
        <w:spacing w:line="360" w:lineRule="auto"/>
        <w:ind w:firstLine="560"/>
        <w:rPr>
          <w:lang w:eastAsia="zh-CN"/>
        </w:rPr>
      </w:pPr>
      <w:r>
        <w:rPr>
          <w:rFonts w:hint="eastAsia"/>
          <w:lang w:eastAsia="zh-CN"/>
        </w:rPr>
        <w:t>来源：中国税务报</w:t>
      </w:r>
    </w:p>
    <w:p w14:paraId="1614D677" w14:textId="77777777" w:rsidR="007F77F7" w:rsidRDefault="00000000">
      <w:pPr>
        <w:spacing w:line="360" w:lineRule="auto"/>
        <w:ind w:firstLine="560"/>
        <w:rPr>
          <w:lang w:eastAsia="zh-CN"/>
        </w:rPr>
      </w:pPr>
      <w:r>
        <w:rPr>
          <w:rFonts w:hint="eastAsia"/>
          <w:lang w:eastAsia="zh-CN"/>
        </w:rPr>
        <w:t>时间：</w:t>
      </w:r>
      <w:r>
        <w:rPr>
          <w:rFonts w:hint="eastAsia"/>
          <w:lang w:eastAsia="zh-CN"/>
        </w:rPr>
        <w:t>2026-09-02</w:t>
      </w:r>
    </w:p>
    <w:p w14:paraId="38745E76" w14:textId="77777777" w:rsidR="007F77F7" w:rsidRDefault="00000000">
      <w:pPr>
        <w:spacing w:line="360" w:lineRule="auto"/>
        <w:ind w:firstLine="560"/>
        <w:rPr>
          <w:lang w:eastAsia="zh-CN"/>
        </w:rPr>
      </w:pPr>
      <w:r>
        <w:rPr>
          <w:rFonts w:hint="eastAsia"/>
          <w:lang w:eastAsia="zh-CN"/>
        </w:rPr>
        <w:t>链接：</w:t>
      </w:r>
      <w:r>
        <w:rPr>
          <w:rFonts w:hint="eastAsia"/>
          <w:lang w:eastAsia="zh-CN"/>
        </w:rPr>
        <w:t>https://www.chinatax.gov.cn/chinatax/c103110/c5252136/content.html</w:t>
      </w:r>
    </w:p>
    <w:p w14:paraId="6358966D" w14:textId="77777777" w:rsidR="007F77F7" w:rsidRDefault="00000000">
      <w:pPr>
        <w:pStyle w:val="2"/>
        <w:spacing w:before="140" w:after="140" w:line="360" w:lineRule="auto"/>
        <w:ind w:firstLine="600"/>
        <w:rPr>
          <w:lang w:eastAsia="zh-CN"/>
        </w:rPr>
      </w:pPr>
      <w:r>
        <w:rPr>
          <w:rFonts w:hint="eastAsia"/>
          <w:lang w:eastAsia="zh-CN"/>
        </w:rPr>
        <w:t>（二）贵州税务、文旅联合发布首批文旅行业税务合规典型案例</w:t>
      </w:r>
    </w:p>
    <w:p w14:paraId="588FD153" w14:textId="77777777" w:rsidR="007F77F7" w:rsidRDefault="00000000">
      <w:pPr>
        <w:spacing w:line="360" w:lineRule="auto"/>
        <w:ind w:firstLine="560"/>
        <w:rPr>
          <w:lang w:eastAsia="zh-CN"/>
        </w:rPr>
      </w:pPr>
      <w:r>
        <w:rPr>
          <w:rFonts w:hint="eastAsia"/>
          <w:lang w:eastAsia="zh-CN"/>
        </w:rPr>
        <w:t>“十五五”规划明确提出“推进文旅深度融合，大力发展文化旅游业”，并将“加强文旅项目建设规范管理”“加强旅游市场综合监管”作为行业高质量发展的重要抓手。在这一背景下，依法诚信纳税不仅是企业合规经营的基本要求，更是文旅经营主体参与市场竞争、实现长远发展的坚实基础。近日，国家税务总局贵州省税务局、贵州省文化和旅</w:t>
      </w:r>
      <w:r>
        <w:rPr>
          <w:rFonts w:hint="eastAsia"/>
          <w:lang w:eastAsia="zh-CN"/>
        </w:rPr>
        <w:lastRenderedPageBreak/>
        <w:t>游厅联合发布贵州省首批文旅行业税务合规典型案例，聚焦个人所得税代扣代缴、季节性用工涉税管理、农产品进项税额核定扣除、发票规范管理等高频涉税事项，为广大文旅经营主体提供可参考的税务合规示范标杆。</w:t>
      </w:r>
    </w:p>
    <w:p w14:paraId="205E556A" w14:textId="77777777" w:rsidR="007F77F7" w:rsidRDefault="00000000">
      <w:pPr>
        <w:spacing w:line="360" w:lineRule="auto"/>
        <w:ind w:firstLine="560"/>
        <w:rPr>
          <w:lang w:eastAsia="zh-CN"/>
        </w:rPr>
      </w:pPr>
      <w:r>
        <w:rPr>
          <w:rFonts w:hint="eastAsia"/>
          <w:lang w:eastAsia="zh-CN"/>
        </w:rPr>
        <w:t>案例一：梵净山文旅集团搭建用工涉税全流程闭环管理体系。该公司是世界自然遗产地梵净山的运营主体，受文旅行业淡旺季分明特性影响，企业存在季节性用工波动大、外聘专家合作多等特点，曾面临用工类型划分模糊、个税代扣不准确、临时用工监管缺失等涉税风险。针对上述痛点，企业从计税口径统一与用工台账管理两个基础环节入手，建立用工涉税全流程规范管理体系。企业连续</w:t>
      </w:r>
      <w:r>
        <w:rPr>
          <w:rFonts w:hint="eastAsia"/>
          <w:lang w:eastAsia="zh-CN"/>
        </w:rPr>
        <w:t>4</w:t>
      </w:r>
      <w:r>
        <w:rPr>
          <w:rFonts w:hint="eastAsia"/>
          <w:lang w:eastAsia="zh-CN"/>
        </w:rPr>
        <w:t>年获评纳税缴费信用</w:t>
      </w:r>
      <w:r>
        <w:rPr>
          <w:rFonts w:hint="eastAsia"/>
          <w:lang w:eastAsia="zh-CN"/>
        </w:rPr>
        <w:t>A</w:t>
      </w:r>
      <w:r>
        <w:rPr>
          <w:rFonts w:hint="eastAsia"/>
          <w:lang w:eastAsia="zh-CN"/>
        </w:rPr>
        <w:t>级，</w:t>
      </w:r>
      <w:r>
        <w:rPr>
          <w:rFonts w:hint="eastAsia"/>
          <w:lang w:eastAsia="zh-CN"/>
        </w:rPr>
        <w:t>2025</w:t>
      </w:r>
      <w:r>
        <w:rPr>
          <w:rFonts w:hint="eastAsia"/>
          <w:lang w:eastAsia="zh-CN"/>
        </w:rPr>
        <w:t>年累计申报缴纳税费</w:t>
      </w:r>
      <w:r>
        <w:rPr>
          <w:rFonts w:hint="eastAsia"/>
          <w:lang w:eastAsia="zh-CN"/>
        </w:rPr>
        <w:t>849</w:t>
      </w:r>
      <w:r>
        <w:rPr>
          <w:rFonts w:hint="eastAsia"/>
          <w:lang w:eastAsia="zh-CN"/>
        </w:rPr>
        <w:t>万元。</w:t>
      </w:r>
    </w:p>
    <w:p w14:paraId="5DFF8B70" w14:textId="77777777" w:rsidR="007F77F7" w:rsidRDefault="00000000">
      <w:pPr>
        <w:spacing w:line="360" w:lineRule="auto"/>
        <w:ind w:firstLine="560"/>
        <w:rPr>
          <w:lang w:eastAsia="zh-CN"/>
        </w:rPr>
      </w:pPr>
      <w:r>
        <w:rPr>
          <w:rFonts w:hint="eastAsia"/>
          <w:lang w:eastAsia="zh-CN"/>
        </w:rPr>
        <w:t>案例二：织金洞旅游开发有限责任公司“一码通办”全业态收入自动归集、发票智能管控。该公司是国家</w:t>
      </w:r>
      <w:r>
        <w:rPr>
          <w:rFonts w:hint="eastAsia"/>
          <w:lang w:eastAsia="zh-CN"/>
        </w:rPr>
        <w:t>5A</w:t>
      </w:r>
      <w:r>
        <w:rPr>
          <w:rFonts w:hint="eastAsia"/>
          <w:lang w:eastAsia="zh-CN"/>
        </w:rPr>
        <w:t>级景区“天下第一洞”织金洞的运营主体。面对门票、餐饮、住宿、停车等收入交织的情况，企业存在收入易混同、发票开具不规范、申报数据易出错等涉税风险。企业依托乐企平台，将业务系统与税务系统深度打通，实现“一码一业态、票从业务生”，每个消费场景设置专属开票二维码，游客扫码即可自动获取对应品目的增值税发票，系统自动归集全量发票与业务数据，关联生成标准化财务凭证，一键生成税费申报信息。企业连续</w:t>
      </w:r>
      <w:r>
        <w:rPr>
          <w:rFonts w:hint="eastAsia"/>
          <w:lang w:eastAsia="zh-CN"/>
        </w:rPr>
        <w:t>2</w:t>
      </w:r>
      <w:r>
        <w:rPr>
          <w:rFonts w:hint="eastAsia"/>
          <w:lang w:eastAsia="zh-CN"/>
        </w:rPr>
        <w:t>年获评纳税缴费信用</w:t>
      </w:r>
      <w:r>
        <w:rPr>
          <w:rFonts w:hint="eastAsia"/>
          <w:lang w:eastAsia="zh-CN"/>
        </w:rPr>
        <w:t>A</w:t>
      </w:r>
      <w:r>
        <w:rPr>
          <w:rFonts w:hint="eastAsia"/>
          <w:lang w:eastAsia="zh-CN"/>
        </w:rPr>
        <w:t>级，</w:t>
      </w:r>
      <w:r>
        <w:rPr>
          <w:rFonts w:hint="eastAsia"/>
          <w:lang w:eastAsia="zh-CN"/>
        </w:rPr>
        <w:t>2025</w:t>
      </w:r>
      <w:r>
        <w:rPr>
          <w:rFonts w:hint="eastAsia"/>
          <w:lang w:eastAsia="zh-CN"/>
        </w:rPr>
        <w:t>年累计缴纳税费</w:t>
      </w:r>
      <w:r>
        <w:rPr>
          <w:rFonts w:hint="eastAsia"/>
          <w:lang w:eastAsia="zh-CN"/>
        </w:rPr>
        <w:t>604</w:t>
      </w:r>
      <w:r>
        <w:rPr>
          <w:rFonts w:hint="eastAsia"/>
          <w:lang w:eastAsia="zh-CN"/>
        </w:rPr>
        <w:t>万元。</w:t>
      </w:r>
    </w:p>
    <w:p w14:paraId="2F952FEA" w14:textId="77777777" w:rsidR="007F77F7" w:rsidRDefault="00000000">
      <w:pPr>
        <w:spacing w:line="360" w:lineRule="auto"/>
        <w:ind w:firstLine="560"/>
        <w:rPr>
          <w:lang w:eastAsia="zh-CN"/>
        </w:rPr>
      </w:pPr>
      <w:r>
        <w:rPr>
          <w:rFonts w:hint="eastAsia"/>
          <w:lang w:eastAsia="zh-CN"/>
        </w:rPr>
        <w:t>案例三：镇远县舞阳文化产业发展有限责任公司通过“三维风控”破解文旅多业态涉税管理难题。该公司负责</w:t>
      </w:r>
      <w:r>
        <w:rPr>
          <w:rFonts w:hint="eastAsia"/>
          <w:lang w:eastAsia="zh-CN"/>
        </w:rPr>
        <w:t>5A</w:t>
      </w:r>
      <w:r>
        <w:rPr>
          <w:rFonts w:hint="eastAsia"/>
          <w:lang w:eastAsia="zh-CN"/>
        </w:rPr>
        <w:t>级景区镇远古城运营，业务涵盖古城水上游、实景演艺、非遗文创开发与销售、景区配套服务等多元业态。企业建立了“日常监管＋季度分析＋专项核查”三维风险防控体系，避免混同核算风险。企业连续</w:t>
      </w:r>
      <w:r>
        <w:rPr>
          <w:rFonts w:hint="eastAsia"/>
          <w:lang w:eastAsia="zh-CN"/>
        </w:rPr>
        <w:t>3</w:t>
      </w:r>
      <w:r>
        <w:rPr>
          <w:rFonts w:hint="eastAsia"/>
          <w:lang w:eastAsia="zh-CN"/>
        </w:rPr>
        <w:t>年获评纳税缴费信用</w:t>
      </w:r>
      <w:r>
        <w:rPr>
          <w:rFonts w:hint="eastAsia"/>
          <w:lang w:eastAsia="zh-CN"/>
        </w:rPr>
        <w:t>A</w:t>
      </w:r>
      <w:r>
        <w:rPr>
          <w:rFonts w:hint="eastAsia"/>
          <w:lang w:eastAsia="zh-CN"/>
        </w:rPr>
        <w:t>级，</w:t>
      </w:r>
      <w:r>
        <w:rPr>
          <w:rFonts w:hint="eastAsia"/>
          <w:lang w:eastAsia="zh-CN"/>
        </w:rPr>
        <w:t>2025</w:t>
      </w:r>
      <w:r>
        <w:rPr>
          <w:rFonts w:hint="eastAsia"/>
          <w:lang w:eastAsia="zh-CN"/>
        </w:rPr>
        <w:t>年企业缴纳税款</w:t>
      </w:r>
      <w:r>
        <w:rPr>
          <w:rFonts w:hint="eastAsia"/>
          <w:lang w:eastAsia="zh-CN"/>
        </w:rPr>
        <w:t>160</w:t>
      </w:r>
      <w:r>
        <w:rPr>
          <w:rFonts w:hint="eastAsia"/>
          <w:lang w:eastAsia="zh-CN"/>
        </w:rPr>
        <w:t>万元，凭借良好纳税信用获得了</w:t>
      </w:r>
      <w:r>
        <w:rPr>
          <w:rFonts w:hint="eastAsia"/>
          <w:lang w:eastAsia="zh-CN"/>
        </w:rPr>
        <w:t>1100</w:t>
      </w:r>
      <w:r>
        <w:rPr>
          <w:rFonts w:hint="eastAsia"/>
          <w:lang w:eastAsia="zh-CN"/>
        </w:rPr>
        <w:t>余万元商业贷</w:t>
      </w:r>
      <w:r>
        <w:rPr>
          <w:rFonts w:hint="eastAsia"/>
          <w:lang w:eastAsia="zh-CN"/>
        </w:rPr>
        <w:lastRenderedPageBreak/>
        <w:t>款。三年来镇远县游客量年均增长</w:t>
      </w:r>
      <w:r>
        <w:rPr>
          <w:rFonts w:hint="eastAsia"/>
          <w:lang w:eastAsia="zh-CN"/>
        </w:rPr>
        <w:t>10.89%</w:t>
      </w:r>
      <w:r>
        <w:rPr>
          <w:rFonts w:hint="eastAsia"/>
          <w:lang w:eastAsia="zh-CN"/>
        </w:rPr>
        <w:t>，实现了合规经营与文旅产业高质量发展的双向赋能。</w:t>
      </w:r>
    </w:p>
    <w:p w14:paraId="095BF0E3" w14:textId="77777777" w:rsidR="007F77F7" w:rsidRDefault="00000000">
      <w:pPr>
        <w:spacing w:line="360" w:lineRule="auto"/>
        <w:ind w:firstLine="560"/>
        <w:rPr>
          <w:lang w:eastAsia="zh-CN"/>
        </w:rPr>
      </w:pPr>
      <w:r>
        <w:rPr>
          <w:rFonts w:hint="eastAsia"/>
          <w:lang w:eastAsia="zh-CN"/>
        </w:rPr>
        <w:t>案例四：贵州好一多乳业强化原料端与零售端全链合规管理。该公司主营乳制品研发、生产与销售，是国家级农业产业化重点龙头企业。原料端做实农产品进项税额核算，严格执行“实地过磅、开具电子磅单、对公转账直达农户”的交易模式，做到磅单、发票、银行流水逐笔匹配；销售端管住多渠道销售收入，将线上直销和两千余家经销商批发业务全部纳入统一数字化管控。企业连续</w:t>
      </w:r>
      <w:r>
        <w:rPr>
          <w:rFonts w:hint="eastAsia"/>
          <w:lang w:eastAsia="zh-CN"/>
        </w:rPr>
        <w:t>9</w:t>
      </w:r>
      <w:r>
        <w:rPr>
          <w:rFonts w:hint="eastAsia"/>
          <w:lang w:eastAsia="zh-CN"/>
        </w:rPr>
        <w:t>年获评纳税缴费信用</w:t>
      </w:r>
      <w:r>
        <w:rPr>
          <w:rFonts w:hint="eastAsia"/>
          <w:lang w:eastAsia="zh-CN"/>
        </w:rPr>
        <w:t>A</w:t>
      </w:r>
      <w:r>
        <w:rPr>
          <w:rFonts w:hint="eastAsia"/>
          <w:lang w:eastAsia="zh-CN"/>
        </w:rPr>
        <w:t>级，</w:t>
      </w:r>
      <w:r>
        <w:rPr>
          <w:rFonts w:hint="eastAsia"/>
          <w:lang w:eastAsia="zh-CN"/>
        </w:rPr>
        <w:t>2025</w:t>
      </w:r>
      <w:r>
        <w:rPr>
          <w:rFonts w:hint="eastAsia"/>
          <w:lang w:eastAsia="zh-CN"/>
        </w:rPr>
        <w:t>年累计申报缴纳税费</w:t>
      </w:r>
      <w:r>
        <w:rPr>
          <w:rFonts w:hint="eastAsia"/>
          <w:lang w:eastAsia="zh-CN"/>
        </w:rPr>
        <w:t>3222</w:t>
      </w:r>
      <w:r>
        <w:rPr>
          <w:rFonts w:hint="eastAsia"/>
          <w:lang w:eastAsia="zh-CN"/>
        </w:rPr>
        <w:t>万元。</w:t>
      </w:r>
    </w:p>
    <w:p w14:paraId="2734F5E1" w14:textId="77777777" w:rsidR="007F77F7" w:rsidRDefault="00000000">
      <w:pPr>
        <w:spacing w:line="360" w:lineRule="auto"/>
        <w:ind w:firstLine="560"/>
        <w:rPr>
          <w:lang w:eastAsia="zh-CN"/>
        </w:rPr>
      </w:pPr>
      <w:r>
        <w:rPr>
          <w:rFonts w:hint="eastAsia"/>
          <w:lang w:eastAsia="zh-CN"/>
        </w:rPr>
        <w:t>案例五：成有王记公司</w:t>
      </w:r>
      <w:r>
        <w:rPr>
          <w:rFonts w:hint="eastAsia"/>
          <w:lang w:eastAsia="zh-CN"/>
        </w:rPr>
        <w:t>5G</w:t>
      </w:r>
      <w:r>
        <w:rPr>
          <w:rFonts w:hint="eastAsia"/>
          <w:lang w:eastAsia="zh-CN"/>
        </w:rPr>
        <w:t>智慧工厂打通业财税数据壁垒。该公司主营冰杨梅饮品，以贵州高山杨梅为原料，产品成为入黔游客打卡特色美食，并远销海外。企业引入联通</w:t>
      </w:r>
      <w:r>
        <w:rPr>
          <w:rFonts w:hint="eastAsia"/>
          <w:lang w:eastAsia="zh-CN"/>
        </w:rPr>
        <w:t>5G</w:t>
      </w:r>
      <w:r>
        <w:rPr>
          <w:rFonts w:hint="eastAsia"/>
          <w:lang w:eastAsia="zh-CN"/>
        </w:rPr>
        <w:t>全场景智慧工厂，从采购到申报实现全流程数字化，在采集端建立“原料进场—生产流转—财务归集”数字化流程，在申报端构建“自动比对—异常预警—辅助申报”智能化体系。企业连续</w:t>
      </w:r>
      <w:r>
        <w:rPr>
          <w:rFonts w:hint="eastAsia"/>
          <w:lang w:eastAsia="zh-CN"/>
        </w:rPr>
        <w:t>4</w:t>
      </w:r>
      <w:r>
        <w:rPr>
          <w:rFonts w:hint="eastAsia"/>
          <w:lang w:eastAsia="zh-CN"/>
        </w:rPr>
        <w:t>年获评纳税缴费信用</w:t>
      </w:r>
      <w:r>
        <w:rPr>
          <w:rFonts w:hint="eastAsia"/>
          <w:lang w:eastAsia="zh-CN"/>
        </w:rPr>
        <w:t>A</w:t>
      </w:r>
      <w:r>
        <w:rPr>
          <w:rFonts w:hint="eastAsia"/>
          <w:lang w:eastAsia="zh-CN"/>
        </w:rPr>
        <w:t>级，</w:t>
      </w:r>
      <w:r>
        <w:rPr>
          <w:rFonts w:hint="eastAsia"/>
          <w:lang w:eastAsia="zh-CN"/>
        </w:rPr>
        <w:t>2025</w:t>
      </w:r>
      <w:r>
        <w:rPr>
          <w:rFonts w:hint="eastAsia"/>
          <w:lang w:eastAsia="zh-CN"/>
        </w:rPr>
        <w:t>年企业缴纳税费</w:t>
      </w:r>
      <w:r>
        <w:rPr>
          <w:rFonts w:hint="eastAsia"/>
          <w:lang w:eastAsia="zh-CN"/>
        </w:rPr>
        <w:t>318</w:t>
      </w:r>
      <w:r>
        <w:rPr>
          <w:rFonts w:hint="eastAsia"/>
          <w:lang w:eastAsia="zh-CN"/>
        </w:rPr>
        <w:t>万元，凭借良好信用通过“银税互动”获贷</w:t>
      </w:r>
      <w:r>
        <w:rPr>
          <w:rFonts w:hint="eastAsia"/>
          <w:lang w:eastAsia="zh-CN"/>
        </w:rPr>
        <w:t>1200</w:t>
      </w:r>
      <w:r>
        <w:rPr>
          <w:rFonts w:hint="eastAsia"/>
          <w:lang w:eastAsia="zh-CN"/>
        </w:rPr>
        <w:t>余万元。</w:t>
      </w:r>
    </w:p>
    <w:p w14:paraId="35C9822B" w14:textId="77777777" w:rsidR="007F77F7" w:rsidRDefault="00000000">
      <w:pPr>
        <w:spacing w:line="360" w:lineRule="auto"/>
        <w:ind w:firstLine="560"/>
        <w:rPr>
          <w:lang w:eastAsia="zh-CN"/>
        </w:rPr>
      </w:pPr>
      <w:r>
        <w:rPr>
          <w:rFonts w:hint="eastAsia"/>
          <w:lang w:eastAsia="zh-CN"/>
        </w:rPr>
        <w:t>贵州大学法学院副教授曲君宇表示，文旅企业普遍面临业态多元、用工灵活、收入分散等客观特征，这恰恰要求企业必须在个人所得税全员全额申报、季节性劳务报酬准确区分、多业态收入归集合规核算等环节建立制度化、标准化的操作规范。值得关注的是，数字化技术的深度应用已成为提升税务合规水平的重要突破口，但这并不意味着每个企业都要上大系统——梵净山文旅集团的用工台账法、镇远古城的三维风控法以规范账簿管理为切入点，都是低成本、可复制的好做法。</w:t>
      </w:r>
    </w:p>
    <w:p w14:paraId="0E9385C3" w14:textId="77777777" w:rsidR="007F77F7" w:rsidRDefault="00000000">
      <w:pPr>
        <w:spacing w:line="360" w:lineRule="auto"/>
        <w:ind w:firstLine="560"/>
        <w:rPr>
          <w:lang w:eastAsia="zh-CN"/>
        </w:rPr>
      </w:pPr>
      <w:r>
        <w:rPr>
          <w:rFonts w:hint="eastAsia"/>
          <w:lang w:eastAsia="zh-CN"/>
        </w:rPr>
        <w:t>合规启示：文旅行业业态多元、用工灵活、收入分散，个人所得税全员全额申报、季节性劳务报酬准确区分、多业态收入归集合规核算，是文旅企业合规的三项基础功课。数字化工具并非合规的前提——以规</w:t>
      </w:r>
      <w:r>
        <w:rPr>
          <w:rFonts w:hint="eastAsia"/>
          <w:lang w:eastAsia="zh-CN"/>
        </w:rPr>
        <w:lastRenderedPageBreak/>
        <w:t>范账簿管理为切入点的台账法、三维风控法，都是低成本、可复制的好做法；企业更应关注优惠享受的持续性，确保农产品进项税额核定扣除、税收优惠适用等事项证据链完整。</w:t>
      </w:r>
    </w:p>
    <w:p w14:paraId="4C7F5105" w14:textId="77777777" w:rsidR="007F77F7" w:rsidRDefault="00000000">
      <w:pPr>
        <w:spacing w:line="360" w:lineRule="auto"/>
        <w:ind w:firstLine="560"/>
        <w:rPr>
          <w:lang w:eastAsia="zh-CN"/>
        </w:rPr>
      </w:pPr>
      <w:r>
        <w:rPr>
          <w:rFonts w:hint="eastAsia"/>
          <w:lang w:eastAsia="zh-CN"/>
        </w:rPr>
        <w:t>来源：中国税务报</w:t>
      </w:r>
    </w:p>
    <w:p w14:paraId="4B541C16" w14:textId="77777777" w:rsidR="007F77F7" w:rsidRDefault="00000000">
      <w:pPr>
        <w:spacing w:line="360" w:lineRule="auto"/>
        <w:ind w:firstLine="560"/>
        <w:rPr>
          <w:lang w:eastAsia="zh-CN"/>
        </w:rPr>
      </w:pPr>
      <w:r>
        <w:rPr>
          <w:rFonts w:hint="eastAsia"/>
          <w:lang w:eastAsia="zh-CN"/>
        </w:rPr>
        <w:t>时间：</w:t>
      </w:r>
      <w:r>
        <w:rPr>
          <w:rFonts w:hint="eastAsia"/>
          <w:lang w:eastAsia="zh-CN"/>
        </w:rPr>
        <w:t>2026-09-08</w:t>
      </w:r>
    </w:p>
    <w:p w14:paraId="74C647B7" w14:textId="77777777" w:rsidR="007F77F7" w:rsidRDefault="00000000">
      <w:pPr>
        <w:spacing w:line="360" w:lineRule="auto"/>
        <w:ind w:firstLine="560"/>
        <w:rPr>
          <w:lang w:eastAsia="zh-CN"/>
        </w:rPr>
      </w:pPr>
      <w:r>
        <w:rPr>
          <w:rFonts w:hint="eastAsia"/>
          <w:lang w:eastAsia="zh-CN"/>
        </w:rPr>
        <w:t>链接：</w:t>
      </w:r>
      <w:r>
        <w:rPr>
          <w:rFonts w:hint="eastAsia"/>
          <w:lang w:eastAsia="zh-CN"/>
        </w:rPr>
        <w:t>https://www.chinatax.gov.cn/chinatax/c103110/c5252220/content.html</w:t>
      </w:r>
    </w:p>
    <w:p w14:paraId="75BA1B82" w14:textId="77777777" w:rsidR="007F77F7" w:rsidRDefault="00000000">
      <w:pPr>
        <w:pStyle w:val="2"/>
        <w:spacing w:before="140" w:after="140" w:line="360" w:lineRule="auto"/>
        <w:ind w:firstLine="600"/>
        <w:rPr>
          <w:lang w:eastAsia="zh-CN"/>
        </w:rPr>
      </w:pPr>
      <w:r>
        <w:rPr>
          <w:rFonts w:hint="eastAsia"/>
          <w:lang w:eastAsia="zh-CN"/>
        </w:rPr>
        <w:t>（三）税务总局发布农村中小银行改革税务合规典型案例</w:t>
      </w:r>
    </w:p>
    <w:p w14:paraId="7FBE36F2" w14:textId="77777777" w:rsidR="007F77F7" w:rsidRDefault="00000000">
      <w:pPr>
        <w:spacing w:line="360" w:lineRule="auto"/>
        <w:ind w:firstLine="560"/>
        <w:rPr>
          <w:lang w:eastAsia="zh-CN"/>
        </w:rPr>
      </w:pPr>
      <w:r>
        <w:rPr>
          <w:rFonts w:hint="eastAsia"/>
          <w:lang w:eastAsia="zh-CN"/>
        </w:rPr>
        <w:t>近年来，我国农村中小银行改革不断深化，从传统的农村信用社向现代商业银行转型，不仅是产权制度的深刻变革，更是公司治理、风险管控与合规经营的全面重塑。在改革与发展的交汇期，经营主体需统筹考量股权确权、资产处置等多维度的合规要求，如何确保改革全流程的依法合规，成为农村中小银行实现稳健经营与可持续发展的必答题。近日，税务总局发布首批农村中小银行改革税务合规典型案例，聚焦改革过程中关键环节的合规实践做法，为其他农村中小银行提供可复制、可推广的参考路径。</w:t>
      </w:r>
    </w:p>
    <w:p w14:paraId="3F4ED155" w14:textId="77777777" w:rsidR="007F77F7" w:rsidRDefault="00000000">
      <w:pPr>
        <w:spacing w:line="360" w:lineRule="auto"/>
        <w:ind w:firstLine="560"/>
        <w:rPr>
          <w:lang w:eastAsia="zh-CN"/>
        </w:rPr>
      </w:pPr>
      <w:r>
        <w:rPr>
          <w:rFonts w:hint="eastAsia"/>
          <w:lang w:eastAsia="zh-CN"/>
        </w:rPr>
        <w:t>案例一：甘肃农村商业银行股份有限公司主动作为，前瞻性防范化解改革涉税风险。甘肃省农信社成立于</w:t>
      </w:r>
      <w:r>
        <w:rPr>
          <w:rFonts w:hint="eastAsia"/>
          <w:lang w:eastAsia="zh-CN"/>
        </w:rPr>
        <w:t>2005</w:t>
      </w:r>
      <w:r>
        <w:rPr>
          <w:rFonts w:hint="eastAsia"/>
          <w:lang w:eastAsia="zh-CN"/>
        </w:rPr>
        <w:t>年，共有</w:t>
      </w:r>
      <w:r>
        <w:rPr>
          <w:rFonts w:hint="eastAsia"/>
          <w:lang w:eastAsia="zh-CN"/>
        </w:rPr>
        <w:t>91</w:t>
      </w:r>
      <w:r>
        <w:rPr>
          <w:rFonts w:hint="eastAsia"/>
          <w:lang w:eastAsia="zh-CN"/>
        </w:rPr>
        <w:t>家机构、近</w:t>
      </w:r>
      <w:r>
        <w:rPr>
          <w:rFonts w:hint="eastAsia"/>
          <w:lang w:eastAsia="zh-CN"/>
        </w:rPr>
        <w:t>2000</w:t>
      </w:r>
      <w:r>
        <w:rPr>
          <w:rFonts w:hint="eastAsia"/>
          <w:lang w:eastAsia="zh-CN"/>
        </w:rPr>
        <w:t>个营业网点、</w:t>
      </w:r>
      <w:r>
        <w:rPr>
          <w:rFonts w:hint="eastAsia"/>
          <w:lang w:eastAsia="zh-CN"/>
        </w:rPr>
        <w:t>2</w:t>
      </w:r>
      <w:r>
        <w:rPr>
          <w:rFonts w:hint="eastAsia"/>
          <w:lang w:eastAsia="zh-CN"/>
        </w:rPr>
        <w:t>万多名从业人员。按照甘肃省委、省政府部署，采取分两批改革方式于</w:t>
      </w:r>
      <w:r>
        <w:rPr>
          <w:rFonts w:hint="eastAsia"/>
          <w:lang w:eastAsia="zh-CN"/>
        </w:rPr>
        <w:t>2026</w:t>
      </w:r>
      <w:r>
        <w:rPr>
          <w:rFonts w:hint="eastAsia"/>
          <w:lang w:eastAsia="zh-CN"/>
        </w:rPr>
        <w:t>年</w:t>
      </w:r>
      <w:r>
        <w:rPr>
          <w:rFonts w:hint="eastAsia"/>
          <w:lang w:eastAsia="zh-CN"/>
        </w:rPr>
        <w:t>3</w:t>
      </w:r>
      <w:r>
        <w:rPr>
          <w:rFonts w:hint="eastAsia"/>
          <w:lang w:eastAsia="zh-CN"/>
        </w:rPr>
        <w:t>月</w:t>
      </w:r>
      <w:r>
        <w:rPr>
          <w:rFonts w:hint="eastAsia"/>
          <w:lang w:eastAsia="zh-CN"/>
        </w:rPr>
        <w:t>20</w:t>
      </w:r>
      <w:r>
        <w:rPr>
          <w:rFonts w:hint="eastAsia"/>
          <w:lang w:eastAsia="zh-CN"/>
        </w:rPr>
        <w:t>日正式挂牌成立甘肃农村商业银行股份有限公司。为确保改革顺利推进，企业在改革前期以税务合规管理为导向，由总行分管财务部门负责人牵头，组建由税务师事务所、财务、业务和法务等多部门人员组成的税务合规管理团队，对改革过程中各环节的涉税业务进行前瞻性分析研判，将各类涉税事项一并纳入改革方案一体化处理，既提前有效防范化解涉税风险，又有效减轻了税务部门后续征管压力。</w:t>
      </w:r>
    </w:p>
    <w:p w14:paraId="4DC1879D" w14:textId="77777777" w:rsidR="007F77F7" w:rsidRDefault="00000000">
      <w:pPr>
        <w:spacing w:line="360" w:lineRule="auto"/>
        <w:ind w:firstLine="560"/>
        <w:rPr>
          <w:lang w:eastAsia="zh-CN"/>
        </w:rPr>
      </w:pPr>
      <w:r>
        <w:rPr>
          <w:rFonts w:hint="eastAsia"/>
          <w:lang w:eastAsia="zh-CN"/>
        </w:rPr>
        <w:lastRenderedPageBreak/>
        <w:t>案例二：新疆农村商业银行股份有限公司将税务合规管理嵌入重组全流程，实现清产核资效率与合规管理水平双提升。为全面推进乡村振兴战略部署，在新疆维吾尔自治区政府主导推动下，</w:t>
      </w:r>
      <w:r>
        <w:rPr>
          <w:rFonts w:hint="eastAsia"/>
          <w:lang w:eastAsia="zh-CN"/>
        </w:rPr>
        <w:t>2025</w:t>
      </w:r>
      <w:r>
        <w:rPr>
          <w:rFonts w:hint="eastAsia"/>
          <w:lang w:eastAsia="zh-CN"/>
        </w:rPr>
        <w:t>年</w:t>
      </w:r>
      <w:r>
        <w:rPr>
          <w:rFonts w:hint="eastAsia"/>
          <w:lang w:eastAsia="zh-CN"/>
        </w:rPr>
        <w:t>12</w:t>
      </w:r>
      <w:r>
        <w:rPr>
          <w:rFonts w:hint="eastAsia"/>
          <w:lang w:eastAsia="zh-CN"/>
        </w:rPr>
        <w:t>月新疆农村商业银行股份有限公司完成全疆</w:t>
      </w:r>
      <w:r>
        <w:rPr>
          <w:rFonts w:hint="eastAsia"/>
          <w:lang w:eastAsia="zh-CN"/>
        </w:rPr>
        <w:t>56</w:t>
      </w:r>
      <w:r>
        <w:rPr>
          <w:rFonts w:hint="eastAsia"/>
          <w:lang w:eastAsia="zh-CN"/>
        </w:rPr>
        <w:t>家农商行（农信社）整体吸收合并，组建全疆统一法人省级农商行。企业树立“改革未动、合规先行”的管理理念，将税务合规管理嵌入重组全流程，构建“事前沟通、事中管控、事后核验”全链条合规机制，针对机构合并、自然人股东退股、净资产分配等重大涉税事项，主动对接税务部门，统一自然人股权处置及净资产分配执行口径，化解跨区域政策执行差异风险。</w:t>
      </w:r>
    </w:p>
    <w:p w14:paraId="147C74CB" w14:textId="77777777" w:rsidR="007F77F7" w:rsidRDefault="00000000">
      <w:pPr>
        <w:spacing w:line="360" w:lineRule="auto"/>
        <w:ind w:firstLine="560"/>
        <w:rPr>
          <w:lang w:eastAsia="zh-CN"/>
        </w:rPr>
      </w:pPr>
      <w:r>
        <w:rPr>
          <w:rFonts w:hint="eastAsia"/>
          <w:lang w:eastAsia="zh-CN"/>
        </w:rPr>
        <w:t>案例三：内蒙古农村商业银行股份有限公司将合规理念贯穿改制全过程，为改革化险工作保驾护航。作为全国首家一次性整合农信机构及村镇银行的省级统一法人银行，</w:t>
      </w:r>
      <w:r>
        <w:rPr>
          <w:rFonts w:hint="eastAsia"/>
          <w:lang w:eastAsia="zh-CN"/>
        </w:rPr>
        <w:t>2025</w:t>
      </w:r>
      <w:r>
        <w:rPr>
          <w:rFonts w:hint="eastAsia"/>
          <w:lang w:eastAsia="zh-CN"/>
        </w:rPr>
        <w:t>年</w:t>
      </w:r>
      <w:r>
        <w:rPr>
          <w:rFonts w:hint="eastAsia"/>
          <w:lang w:eastAsia="zh-CN"/>
        </w:rPr>
        <w:t>5</w:t>
      </w:r>
      <w:r>
        <w:rPr>
          <w:rFonts w:hint="eastAsia"/>
          <w:lang w:eastAsia="zh-CN"/>
        </w:rPr>
        <w:t>月内蒙古农村商业银行股份有限公司正式挂牌运营，实现全自治区农信体系全域改制。内蒙古农商行秉持“法治引领、合规筑基、风险护航”理念，由财务、税务、法务部门会同事务所成立改制专班，对接自治区、盟市、旗县三级税务部门，针对自然人股东大规模退股、跨机构资产划转、西部大开发所得税优惠政策适用、新旧法人纳税衔接不畅等重点涉税难题进行多次会商，扎实推进全维度涉税整改工作，搭建了常态化、体系化的税务合规管理模式，全方位保障改革工作平稳落地、企业合规稳健运营。</w:t>
      </w:r>
    </w:p>
    <w:p w14:paraId="059952A9" w14:textId="77777777" w:rsidR="007F77F7" w:rsidRDefault="00000000">
      <w:pPr>
        <w:spacing w:line="360" w:lineRule="auto"/>
        <w:ind w:firstLine="560"/>
        <w:rPr>
          <w:lang w:eastAsia="zh-CN"/>
        </w:rPr>
      </w:pPr>
      <w:r>
        <w:rPr>
          <w:rFonts w:hint="eastAsia"/>
          <w:lang w:eastAsia="zh-CN"/>
        </w:rPr>
        <w:t>下一步，税务部门将持续聚焦农村中小银行改革过程中的痛点与难点，精准提供合规指引，加大政策辅导与合规宣讲力度，引导更多改革机构对标先进、查漏补缺，全面提升合规管理水平，通过政企同向发力，共同推动农村中小银行在规范中发展、在合规中壮大，为全面推进乡村振兴、服务实体经济高质量发展贡献更多力量。</w:t>
      </w:r>
    </w:p>
    <w:p w14:paraId="6604D8BC" w14:textId="77777777" w:rsidR="007F77F7" w:rsidRDefault="00000000">
      <w:pPr>
        <w:spacing w:line="360" w:lineRule="auto"/>
        <w:ind w:firstLine="560"/>
        <w:rPr>
          <w:lang w:eastAsia="zh-CN"/>
        </w:rPr>
      </w:pPr>
      <w:r>
        <w:rPr>
          <w:rFonts w:hint="eastAsia"/>
          <w:lang w:eastAsia="zh-CN"/>
        </w:rPr>
        <w:t>合规启示：农村中小银行改革中，股权确权、资产划转、自然人股东退股、净资产分配等涉税事项往往集中发生，税务合规应嵌入改革全</w:t>
      </w:r>
      <w:r>
        <w:rPr>
          <w:rFonts w:hint="eastAsia"/>
          <w:lang w:eastAsia="zh-CN"/>
        </w:rPr>
        <w:lastRenderedPageBreak/>
        <w:t>流程而非事后补救。对各类企业而言，重大重组改制前开展涉税尽职调查与方案论证，主动对接税务机关统一执行口径，将清产核资、债务重组、资产划转中的税收政策适用前置化安排，是防范改革涉税风险的关键。</w:t>
      </w:r>
    </w:p>
    <w:p w14:paraId="62FB9F1A" w14:textId="77777777" w:rsidR="007F77F7" w:rsidRDefault="00000000">
      <w:pPr>
        <w:spacing w:line="360" w:lineRule="auto"/>
        <w:ind w:firstLine="560"/>
        <w:rPr>
          <w:lang w:eastAsia="zh-CN"/>
        </w:rPr>
      </w:pPr>
      <w:r>
        <w:rPr>
          <w:rFonts w:hint="eastAsia"/>
          <w:lang w:eastAsia="zh-CN"/>
        </w:rPr>
        <w:t>来源：中国税务报</w:t>
      </w:r>
    </w:p>
    <w:p w14:paraId="6A139D7B" w14:textId="77777777" w:rsidR="007F77F7" w:rsidRDefault="00000000">
      <w:pPr>
        <w:spacing w:line="360" w:lineRule="auto"/>
        <w:ind w:firstLine="560"/>
        <w:rPr>
          <w:lang w:eastAsia="zh-CN"/>
        </w:rPr>
      </w:pPr>
      <w:r>
        <w:rPr>
          <w:rFonts w:hint="eastAsia"/>
          <w:lang w:eastAsia="zh-CN"/>
        </w:rPr>
        <w:t>时间：</w:t>
      </w:r>
      <w:r>
        <w:rPr>
          <w:rFonts w:hint="eastAsia"/>
          <w:lang w:eastAsia="zh-CN"/>
        </w:rPr>
        <w:t>2026-09-20</w:t>
      </w:r>
    </w:p>
    <w:p w14:paraId="0D8D6D40" w14:textId="77777777" w:rsidR="007F77F7" w:rsidRDefault="00000000">
      <w:pPr>
        <w:spacing w:line="360" w:lineRule="auto"/>
        <w:ind w:firstLine="560"/>
        <w:rPr>
          <w:lang w:eastAsia="zh-CN"/>
        </w:rPr>
      </w:pPr>
      <w:r>
        <w:rPr>
          <w:rFonts w:hint="eastAsia"/>
          <w:lang w:eastAsia="zh-CN"/>
        </w:rPr>
        <w:t>链接：</w:t>
      </w:r>
      <w:r>
        <w:rPr>
          <w:rFonts w:hint="eastAsia"/>
          <w:lang w:eastAsia="zh-CN"/>
        </w:rPr>
        <w:t>https://www.chinatax.gov.cn/chinatax/c103110/c5252546/content.html</w:t>
      </w:r>
    </w:p>
    <w:p w14:paraId="05A4E381" w14:textId="77777777" w:rsidR="007F77F7" w:rsidRDefault="007F77F7">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p>
    <w:p w14:paraId="21B888A2" w14:textId="77777777" w:rsidR="007F77F7"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本期税法速递编写小组</w:t>
      </w:r>
    </w:p>
    <w:p w14:paraId="3F5E6E3E" w14:textId="77777777" w:rsidR="007F77F7"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总编：李鹏翔</w:t>
      </w:r>
    </w:p>
    <w:p w14:paraId="24B80DA0" w14:textId="77777777" w:rsidR="007F77F7"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复审：曾淑娟</w:t>
      </w:r>
    </w:p>
    <w:p w14:paraId="43EF8971" w14:textId="77777777" w:rsidR="007F77F7"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初审：王海伟</w:t>
      </w:r>
    </w:p>
    <w:p w14:paraId="5778977B" w14:textId="77777777" w:rsidR="007F77F7"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编辑：王海伟</w:t>
      </w:r>
    </w:p>
    <w:sectPr w:rsidR="007F77F7">
      <w:footerReference w:type="default" r:id="rId15"/>
      <w:pgSz w:w="11910" w:h="16840"/>
      <w:pgMar w:top="1380" w:right="1502" w:bottom="1160" w:left="1451" w:header="947" w:footer="9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E5D82" w14:textId="77777777" w:rsidR="001E540B" w:rsidRDefault="001E540B">
      <w:pPr>
        <w:spacing w:line="240" w:lineRule="auto"/>
        <w:ind w:firstLine="560"/>
      </w:pPr>
      <w:r>
        <w:separator/>
      </w:r>
    </w:p>
  </w:endnote>
  <w:endnote w:type="continuationSeparator" w:id="0">
    <w:p w14:paraId="29483B76" w14:textId="77777777" w:rsidR="001E540B" w:rsidRDefault="001E540B">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Times New Roman (正文 CS 字体)">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
    </w:sdtPr>
    <w:sdtContent>
      <w:p w14:paraId="299ADF9B" w14:textId="77777777" w:rsidR="007F77F7" w:rsidRDefault="00000000">
        <w:pPr>
          <w:pStyle w:val="a6"/>
          <w:framePr w:wrap="auto" w:vAnchor="text" w:hAnchor="margin" w:xAlign="center" w:y="1"/>
          <w:ind w:firstLine="360"/>
          <w:rPr>
            <w:rStyle w:val="ab"/>
          </w:rPr>
        </w:pPr>
        <w:r>
          <w:rPr>
            <w:rStyle w:val="ab"/>
          </w:rPr>
          <w:fldChar w:fldCharType="begin"/>
        </w:r>
        <w:r>
          <w:rPr>
            <w:rStyle w:val="ab"/>
          </w:rPr>
          <w:instrText xml:space="preserve"> PAGE </w:instrText>
        </w:r>
        <w:r>
          <w:rPr>
            <w:rStyle w:val="ab"/>
          </w:rPr>
          <w:fldChar w:fldCharType="end"/>
        </w:r>
      </w:p>
    </w:sdtContent>
  </w:sdt>
  <w:p w14:paraId="3581162D" w14:textId="77777777" w:rsidR="007F77F7" w:rsidRDefault="007F77F7">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6722" w14:textId="77777777" w:rsidR="007F77F7" w:rsidRDefault="007F77F7">
    <w:pPr>
      <w:pStyle w:val="a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986257761"/>
    </w:sdtPr>
    <w:sdtContent>
      <w:p w14:paraId="56F328C4" w14:textId="77777777" w:rsidR="007F77F7" w:rsidRDefault="00000000">
        <w:pPr>
          <w:pStyle w:val="a6"/>
          <w:framePr w:wrap="auto" w:vAnchor="text" w:hAnchor="margin" w:xAlign="center" w:y="1"/>
          <w:ind w:firstLine="360"/>
          <w:rPr>
            <w:rStyle w:val="ab"/>
          </w:rPr>
        </w:pPr>
        <w:r>
          <w:rPr>
            <w:rStyle w:val="ab"/>
          </w:rPr>
          <w:fldChar w:fldCharType="begin"/>
        </w:r>
        <w:r>
          <w:rPr>
            <w:rStyle w:val="ab"/>
          </w:rPr>
          <w:instrText xml:space="preserve"> PAGE </w:instrText>
        </w:r>
        <w:r>
          <w:rPr>
            <w:rStyle w:val="ab"/>
          </w:rPr>
          <w:fldChar w:fldCharType="separate"/>
        </w:r>
        <w:r>
          <w:rPr>
            <w:rStyle w:val="ab"/>
          </w:rPr>
          <w:t>1</w:t>
        </w:r>
        <w:r>
          <w:rPr>
            <w:rStyle w:val="ab"/>
          </w:rPr>
          <w:fldChar w:fldCharType="end"/>
        </w:r>
      </w:p>
    </w:sdtContent>
  </w:sdt>
  <w:p w14:paraId="496FB92D" w14:textId="77777777" w:rsidR="007F77F7" w:rsidRDefault="007F77F7">
    <w:pPr>
      <w:pStyle w:val="a6"/>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CEFF" w14:textId="77777777" w:rsidR="007F77F7" w:rsidRDefault="007F77F7">
    <w:pPr>
      <w:tabs>
        <w:tab w:val="left" w:pos="3126"/>
      </w:tabs>
      <w:spacing w:line="14" w:lineRule="auto"/>
      <w:ind w:firstLine="400"/>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FFF0" w14:textId="77777777" w:rsidR="007F77F7" w:rsidRDefault="00000000">
    <w:pPr>
      <w:tabs>
        <w:tab w:val="left" w:pos="3126"/>
      </w:tabs>
      <w:spacing w:line="14" w:lineRule="auto"/>
      <w:ind w:firstLine="400"/>
      <w:rPr>
        <w:sz w:val="20"/>
        <w:szCs w:val="20"/>
      </w:rPr>
    </w:pPr>
    <w:r>
      <w:rPr>
        <w:noProof/>
        <w:sz w:val="20"/>
      </w:rPr>
      <mc:AlternateContent>
        <mc:Choice Requires="wps">
          <w:drawing>
            <wp:anchor distT="0" distB="0" distL="114300" distR="114300" simplePos="0" relativeHeight="251662336" behindDoc="0" locked="0" layoutInCell="1" allowOverlap="1" wp14:anchorId="638C86FB" wp14:editId="2123473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50D0E7" w14:textId="77777777" w:rsidR="007F77F7" w:rsidRDefault="00000000">
                          <w:pPr>
                            <w:pStyle w:val="a6"/>
                            <w:ind w:firstLine="360"/>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34</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032B03">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8DABE" w14:textId="77777777" w:rsidR="001E540B" w:rsidRDefault="001E540B">
      <w:pPr>
        <w:spacing w:line="240" w:lineRule="auto"/>
        <w:ind w:firstLine="560"/>
      </w:pPr>
      <w:r>
        <w:separator/>
      </w:r>
    </w:p>
  </w:footnote>
  <w:footnote w:type="continuationSeparator" w:id="0">
    <w:p w14:paraId="3B887119" w14:textId="77777777" w:rsidR="001E540B" w:rsidRDefault="001E540B">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50BE" w14:textId="77777777" w:rsidR="007F77F7" w:rsidRDefault="007F77F7">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7F5F9" w14:textId="77777777" w:rsidR="007F77F7" w:rsidRDefault="00000000">
    <w:pPr>
      <w:spacing w:line="14" w:lineRule="auto"/>
      <w:ind w:firstLine="560"/>
      <w:rPr>
        <w:sz w:val="20"/>
        <w:szCs w:val="20"/>
      </w:rPr>
    </w:pPr>
    <w:r>
      <w:rPr>
        <w:noProof/>
      </w:rPr>
      <mc:AlternateContent>
        <mc:Choice Requires="wps">
          <w:drawing>
            <wp:anchor distT="0" distB="0" distL="114300" distR="114300" simplePos="0" relativeHeight="251661312" behindDoc="1" locked="0" layoutInCell="1" allowOverlap="1" wp14:anchorId="5BBF9262" wp14:editId="5F5FABDE">
              <wp:simplePos x="0" y="0"/>
              <wp:positionH relativeFrom="page">
                <wp:posOffset>2270760</wp:posOffset>
              </wp:positionH>
              <wp:positionV relativeFrom="page">
                <wp:posOffset>614680</wp:posOffset>
              </wp:positionV>
              <wp:extent cx="3266440" cy="186690"/>
              <wp:effectExtent l="0" t="0" r="10160" b="3810"/>
              <wp:wrapNone/>
              <wp:docPr id="25" name="Text Box 8"/>
              <wp:cNvGraphicFramePr/>
              <a:graphic xmlns:a="http://schemas.openxmlformats.org/drawingml/2006/main">
                <a:graphicData uri="http://schemas.microsoft.com/office/word/2010/wordprocessingShape">
                  <wps:wsp>
                    <wps:cNvSpPr txBox="1"/>
                    <wps:spPr bwMode="auto">
                      <a:xfrm>
                        <a:off x="0" y="0"/>
                        <a:ext cx="3266536" cy="186690"/>
                      </a:xfrm>
                      <a:prstGeom prst="rect">
                        <a:avLst/>
                      </a:prstGeom>
                      <a:noFill/>
                      <a:ln>
                        <a:noFill/>
                      </a:ln>
                    </wps:spPr>
                    <wps:txbx>
                      <w:txbxContent>
                        <w:p w14:paraId="1CAA812E" w14:textId="77777777" w:rsidR="007F77F7"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wps:txbx>
                    <wps:bodyPr rot="0" vert="horz" wrap="square" lIns="0" tIns="0" rIns="0" bIns="0" anchor="t" anchorCtr="0" upright="1">
                      <a:noAutofit/>
                    </wps:bodyPr>
                  </wps:wsp>
                </a:graphicData>
              </a:graphic>
            </wp:anchor>
          </w:drawing>
        </mc:Choice>
        <mc:Fallback>
          <w:pict>
            <v:shapetype w14:anchorId="5BBF9262" id="_x0000_t202" coordsize="21600,21600" o:spt="202" path="m,l,21600r21600,l21600,xe">
              <v:stroke joinstyle="miter"/>
              <v:path gradientshapeok="t" o:connecttype="rect"/>
            </v:shapetype>
            <v:shape id="Text Box 8" o:spid="_x0000_s1026" type="#_x0000_t202" style="position:absolute;left:0;text-align:left;margin-left:178.8pt;margin-top:48.4pt;width:257.2pt;height:14.7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" filled="f" stroked="f">
              <v:textbox inset="0,0,0,0">
                <w:txbxContent>
                  <w:p w14:paraId="1CAA812E" w14:textId="77777777" w:rsidR="007F77F7"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74513D8F" wp14:editId="6BB395F3">
              <wp:simplePos x="0" y="0"/>
              <wp:positionH relativeFrom="page">
                <wp:posOffset>1143000</wp:posOffset>
              </wp:positionH>
              <wp:positionV relativeFrom="page">
                <wp:posOffset>873125</wp:posOffset>
              </wp:positionV>
              <wp:extent cx="5269865" cy="1270"/>
              <wp:effectExtent l="0" t="0" r="635" b="0"/>
              <wp:wrapNone/>
              <wp:docPr id="26" name="Group 9"/>
              <wp:cNvGraphicFramePr/>
              <a:graphic xmlns:a="http://schemas.openxmlformats.org/drawingml/2006/main">
                <a:graphicData uri="http://schemas.microsoft.com/office/word/2010/wordprocessingGroup">
                  <wpg:wgp>
                    <wpg:cNvGrpSpPr/>
                    <wpg:grpSpPr>
                      <a:xfrm>
                        <a:off x="0" y="0"/>
                        <a:ext cx="5269865" cy="1270"/>
                        <a:chOff x="1800" y="1375"/>
                        <a:chExt cx="8299" cy="2"/>
                      </a:xfrm>
                    </wpg:grpSpPr>
                    <wps:wsp>
                      <wps:cNvPr id="27" name="Freeform 10"/>
                      <wps:cNvSpPr/>
                      <wps:spPr bwMode="auto">
                        <a:xfrm>
                          <a:off x="1800" y="1375"/>
                          <a:ext cx="8299" cy="2"/>
                        </a:xfrm>
                        <a:custGeom>
                          <a:avLst/>
                          <a:gdLst>
                            <a:gd name="T0" fmla="+- 0 1800 1800"/>
                            <a:gd name="T1" fmla="*/ T0 w 8299"/>
                            <a:gd name="T2" fmla="+- 0 10099 1800"/>
                            <a:gd name="T3" fmla="*/ T2 w 8299"/>
                          </a:gdLst>
                          <a:ahLst/>
                          <a:cxnLst>
                            <a:cxn ang="0">
                              <a:pos x="T1" y="0"/>
                            </a:cxn>
                            <a:cxn ang="0">
                              <a:pos x="T3" y="0"/>
                            </a:cxn>
                          </a:cxnLst>
                          <a:rect l="0" t="0" r="r" b="b"/>
                          <a:pathLst>
                            <a:path w="8299">
                              <a:moveTo>
                                <a:pt x="0" y="0"/>
                              </a:moveTo>
                              <a:lnTo>
                                <a:pt x="8299" y="0"/>
                              </a:lnTo>
                            </a:path>
                          </a:pathLst>
                        </a:custGeom>
                        <a:noFill/>
                        <a:ln w="9144">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9" o:spid="_x0000_s1026" o:spt="203" style="position:absolute;left:0pt;margin-left:90pt;margin-top:68.75pt;height:0.1pt;width:414.95pt;mso-position-horizontal-relative:page;mso-position-vertical-relative:page;z-index:-251656192;mso-width-relative:page;mso-height-relative:page;" coordorigin="1800,1375" coordsize="8299,2" o:gfxdata="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">
              <o:lock v:ext="edit" aspectratio="f"/>
              <v:shape id="Freeform 10" o:spid="_x0000_s1026" o:spt="100" style="position:absolute;left:1800;top:1375;height:2;width:8299;" filled="f" stroked="t" coordsize="8299,1" o:gfxdata="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YCtEvQAA&#10;ANsAAAAPAAAAAAAAAAEAIAAAACIAAABkcnMvZG93bnJldi54bWxQSwECFAAUAAAACACHTuJAMy8F&#10;njsAAAA5AAAAEAAAAAAAAAABACAAAAAMAQAAZHJzL3NoYXBleG1sLnhtbFBLBQYAAAAABgAGAFsB&#10;AAC2AwAAAAA=&#10;" path="m0,0l8299,0e">
                <v:path o:connectlocs="0,0;8299,0" o:connectangles="0,0"/>
                <v:fill on="f" focussize="0,0"/>
                <v:stroke weight="0.72pt" color="#000000" joinstyle="round"/>
                <v:imagedata o:title=""/>
                <o:lock v:ext="edit" aspectratio="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8EEC" w14:textId="77777777" w:rsidR="007F77F7" w:rsidRDefault="007F77F7">
    <w:pPr>
      <w:pStyle w:val="a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zNjBkOTgyNWQ1YTMxYzM3MzMwNWFiODNmOWIzYWMifQ=="/>
  </w:docVars>
  <w:rsids>
    <w:rsidRoot w:val="00B76B87"/>
    <w:rsid w:val="00007796"/>
    <w:rsid w:val="00011A93"/>
    <w:rsid w:val="00013908"/>
    <w:rsid w:val="0002553C"/>
    <w:rsid w:val="0008593E"/>
    <w:rsid w:val="000A354C"/>
    <w:rsid w:val="000C3BCC"/>
    <w:rsid w:val="000D526D"/>
    <w:rsid w:val="000F092A"/>
    <w:rsid w:val="00132F76"/>
    <w:rsid w:val="001352FB"/>
    <w:rsid w:val="00141F81"/>
    <w:rsid w:val="00143316"/>
    <w:rsid w:val="0018090B"/>
    <w:rsid w:val="001909EE"/>
    <w:rsid w:val="001D716F"/>
    <w:rsid w:val="001E540B"/>
    <w:rsid w:val="00216942"/>
    <w:rsid w:val="002219A0"/>
    <w:rsid w:val="0024423A"/>
    <w:rsid w:val="00270EDB"/>
    <w:rsid w:val="002C5A60"/>
    <w:rsid w:val="002C69FB"/>
    <w:rsid w:val="002D7683"/>
    <w:rsid w:val="002E15ED"/>
    <w:rsid w:val="002F0622"/>
    <w:rsid w:val="003130DA"/>
    <w:rsid w:val="00351135"/>
    <w:rsid w:val="00374B47"/>
    <w:rsid w:val="003960A4"/>
    <w:rsid w:val="00396DA6"/>
    <w:rsid w:val="003D72C3"/>
    <w:rsid w:val="00461C7D"/>
    <w:rsid w:val="004625E3"/>
    <w:rsid w:val="004724DB"/>
    <w:rsid w:val="00487A0C"/>
    <w:rsid w:val="00493170"/>
    <w:rsid w:val="004A4C53"/>
    <w:rsid w:val="004C13A2"/>
    <w:rsid w:val="004D0036"/>
    <w:rsid w:val="00571220"/>
    <w:rsid w:val="0057608E"/>
    <w:rsid w:val="0057766F"/>
    <w:rsid w:val="005B5FB7"/>
    <w:rsid w:val="005C2259"/>
    <w:rsid w:val="005D5F49"/>
    <w:rsid w:val="005E781D"/>
    <w:rsid w:val="005F6B93"/>
    <w:rsid w:val="005F7EAD"/>
    <w:rsid w:val="00603A3B"/>
    <w:rsid w:val="006323C0"/>
    <w:rsid w:val="0064756E"/>
    <w:rsid w:val="00664BED"/>
    <w:rsid w:val="00685DC6"/>
    <w:rsid w:val="006F24F1"/>
    <w:rsid w:val="0070062F"/>
    <w:rsid w:val="00722467"/>
    <w:rsid w:val="007266AF"/>
    <w:rsid w:val="0072785C"/>
    <w:rsid w:val="00743007"/>
    <w:rsid w:val="00754B66"/>
    <w:rsid w:val="00756646"/>
    <w:rsid w:val="00774D66"/>
    <w:rsid w:val="007870C1"/>
    <w:rsid w:val="007A24F0"/>
    <w:rsid w:val="007C2D1A"/>
    <w:rsid w:val="007E0471"/>
    <w:rsid w:val="007E08AA"/>
    <w:rsid w:val="007E3D5A"/>
    <w:rsid w:val="007E4B85"/>
    <w:rsid w:val="007F5939"/>
    <w:rsid w:val="007F77F7"/>
    <w:rsid w:val="00841B6D"/>
    <w:rsid w:val="00852BD9"/>
    <w:rsid w:val="00867293"/>
    <w:rsid w:val="00883F7A"/>
    <w:rsid w:val="008C03C1"/>
    <w:rsid w:val="008C17BF"/>
    <w:rsid w:val="008E4828"/>
    <w:rsid w:val="00905D50"/>
    <w:rsid w:val="00912C72"/>
    <w:rsid w:val="00947456"/>
    <w:rsid w:val="00967C74"/>
    <w:rsid w:val="00974DAB"/>
    <w:rsid w:val="00985A45"/>
    <w:rsid w:val="00994FD3"/>
    <w:rsid w:val="009B127C"/>
    <w:rsid w:val="009B1460"/>
    <w:rsid w:val="009D365D"/>
    <w:rsid w:val="00A0224F"/>
    <w:rsid w:val="00A111D8"/>
    <w:rsid w:val="00A114AD"/>
    <w:rsid w:val="00A148E9"/>
    <w:rsid w:val="00A223B0"/>
    <w:rsid w:val="00A23BFD"/>
    <w:rsid w:val="00A4480E"/>
    <w:rsid w:val="00A46331"/>
    <w:rsid w:val="00A65538"/>
    <w:rsid w:val="00A75274"/>
    <w:rsid w:val="00AB5051"/>
    <w:rsid w:val="00AE6B7A"/>
    <w:rsid w:val="00AF49D8"/>
    <w:rsid w:val="00B01284"/>
    <w:rsid w:val="00B34751"/>
    <w:rsid w:val="00B701E2"/>
    <w:rsid w:val="00B76B87"/>
    <w:rsid w:val="00B975E7"/>
    <w:rsid w:val="00BC41B9"/>
    <w:rsid w:val="00BF6761"/>
    <w:rsid w:val="00C04C52"/>
    <w:rsid w:val="00C16624"/>
    <w:rsid w:val="00C40874"/>
    <w:rsid w:val="00C531DE"/>
    <w:rsid w:val="00C6335D"/>
    <w:rsid w:val="00CA301D"/>
    <w:rsid w:val="00CA41A9"/>
    <w:rsid w:val="00CB70FD"/>
    <w:rsid w:val="00CC1279"/>
    <w:rsid w:val="00CC69A7"/>
    <w:rsid w:val="00CC72D5"/>
    <w:rsid w:val="00CD7164"/>
    <w:rsid w:val="00D07451"/>
    <w:rsid w:val="00D23EAC"/>
    <w:rsid w:val="00D3196C"/>
    <w:rsid w:val="00D74D43"/>
    <w:rsid w:val="00D908BB"/>
    <w:rsid w:val="00DB24A5"/>
    <w:rsid w:val="00DD1997"/>
    <w:rsid w:val="00DD5250"/>
    <w:rsid w:val="00DE09E4"/>
    <w:rsid w:val="00DE47FE"/>
    <w:rsid w:val="00DF6E34"/>
    <w:rsid w:val="00E32217"/>
    <w:rsid w:val="00E40751"/>
    <w:rsid w:val="00E43876"/>
    <w:rsid w:val="00E55976"/>
    <w:rsid w:val="00E66723"/>
    <w:rsid w:val="00E9140B"/>
    <w:rsid w:val="00EB3C95"/>
    <w:rsid w:val="00ED78FF"/>
    <w:rsid w:val="00EE1528"/>
    <w:rsid w:val="00EF1797"/>
    <w:rsid w:val="00EF451D"/>
    <w:rsid w:val="00F07463"/>
    <w:rsid w:val="00F409DE"/>
    <w:rsid w:val="00F53987"/>
    <w:rsid w:val="00F630EA"/>
    <w:rsid w:val="00F726B7"/>
    <w:rsid w:val="00F91227"/>
    <w:rsid w:val="00F92759"/>
    <w:rsid w:val="00FB5470"/>
    <w:rsid w:val="00FF3D59"/>
    <w:rsid w:val="018C7B99"/>
    <w:rsid w:val="01BC1CF0"/>
    <w:rsid w:val="0A191492"/>
    <w:rsid w:val="0F737696"/>
    <w:rsid w:val="10FF0977"/>
    <w:rsid w:val="1417133F"/>
    <w:rsid w:val="14957CF6"/>
    <w:rsid w:val="17027861"/>
    <w:rsid w:val="19053D5D"/>
    <w:rsid w:val="19AF3B81"/>
    <w:rsid w:val="1BEE3761"/>
    <w:rsid w:val="1CE32C3E"/>
    <w:rsid w:val="1EA30F09"/>
    <w:rsid w:val="202E2120"/>
    <w:rsid w:val="232B5C53"/>
    <w:rsid w:val="24CE0AF1"/>
    <w:rsid w:val="2B7673BB"/>
    <w:rsid w:val="2B7F7943"/>
    <w:rsid w:val="2BE45586"/>
    <w:rsid w:val="2D2F201C"/>
    <w:rsid w:val="31020D6E"/>
    <w:rsid w:val="31C679AA"/>
    <w:rsid w:val="34F4274D"/>
    <w:rsid w:val="35916927"/>
    <w:rsid w:val="3BDE0249"/>
    <w:rsid w:val="3CD21679"/>
    <w:rsid w:val="3D7FA3CE"/>
    <w:rsid w:val="3DBD1C16"/>
    <w:rsid w:val="3E3830E7"/>
    <w:rsid w:val="3F979F1C"/>
    <w:rsid w:val="428C6766"/>
    <w:rsid w:val="454A6F85"/>
    <w:rsid w:val="48010C62"/>
    <w:rsid w:val="4BAD4AC6"/>
    <w:rsid w:val="4C72630D"/>
    <w:rsid w:val="4CC065F7"/>
    <w:rsid w:val="4E3B6A9B"/>
    <w:rsid w:val="52900707"/>
    <w:rsid w:val="5351718D"/>
    <w:rsid w:val="54110B00"/>
    <w:rsid w:val="54132462"/>
    <w:rsid w:val="558743BD"/>
    <w:rsid w:val="573D6761"/>
    <w:rsid w:val="577C0B01"/>
    <w:rsid w:val="5FE1007D"/>
    <w:rsid w:val="61D570DE"/>
    <w:rsid w:val="63E547BF"/>
    <w:rsid w:val="65C80A84"/>
    <w:rsid w:val="6ADF5D1A"/>
    <w:rsid w:val="6CB858A6"/>
    <w:rsid w:val="6F85477F"/>
    <w:rsid w:val="70CA0638"/>
    <w:rsid w:val="756D4255"/>
    <w:rsid w:val="75EE071E"/>
    <w:rsid w:val="768E6CF8"/>
    <w:rsid w:val="76BF0B95"/>
    <w:rsid w:val="78952CAE"/>
    <w:rsid w:val="7D364FB1"/>
    <w:rsid w:val="7D7B0C16"/>
    <w:rsid w:val="7ECF50E5"/>
    <w:rsid w:val="7FF7C777"/>
    <w:rsid w:val="9F6B52E2"/>
    <w:rsid w:val="B7DB4CEA"/>
    <w:rsid w:val="BEABB8AA"/>
    <w:rsid w:val="EDFB16B9"/>
    <w:rsid w:val="F1DAB65A"/>
    <w:rsid w:val="F97FFF04"/>
    <w:rsid w:val="FAFC029A"/>
    <w:rsid w:val="FDFF5E21"/>
    <w:rsid w:val="FEFEF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DB11890"/>
  <w15:docId w15:val="{9389BFEF-8AE3-45D3-BFA0-18118332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460" w:lineRule="exact"/>
      <w:ind w:firstLineChars="200" w:firstLine="200"/>
      <w:jc w:val="both"/>
    </w:pPr>
    <w:rPr>
      <w:rFonts w:asciiTheme="minorHAnsi" w:eastAsia="仿宋" w:hAnsiTheme="minorHAnsi" w:cs="Times New Roman (正文 CS 字体)"/>
      <w:sz w:val="28"/>
      <w:szCs w:val="22"/>
      <w:lang w:eastAsia="en-US"/>
    </w:rPr>
  </w:style>
  <w:style w:type="paragraph" w:styleId="1">
    <w:name w:val="heading 1"/>
    <w:basedOn w:val="a"/>
    <w:next w:val="a"/>
    <w:uiPriority w:val="9"/>
    <w:qFormat/>
    <w:pPr>
      <w:spacing w:before="197"/>
      <w:ind w:firstLine="561"/>
      <w:jc w:val="left"/>
      <w:outlineLvl w:val="0"/>
    </w:pPr>
    <w:rPr>
      <w:rFonts w:ascii="仿宋" w:eastAsia="黑体" w:hAnsi="仿宋"/>
      <w:bCs/>
      <w:sz w:val="32"/>
      <w:szCs w:val="28"/>
      <w:lang w:eastAsia="zh-CN"/>
    </w:rPr>
  </w:style>
  <w:style w:type="paragraph" w:styleId="2">
    <w:name w:val="heading 2"/>
    <w:basedOn w:val="a"/>
    <w:next w:val="a"/>
    <w:link w:val="20"/>
    <w:uiPriority w:val="9"/>
    <w:unhideWhenUsed/>
    <w:qFormat/>
    <w:pPr>
      <w:keepNext/>
      <w:keepLines/>
      <w:spacing w:before="500" w:after="500" w:line="240" w:lineRule="auto"/>
      <w:jc w:val="left"/>
      <w:outlineLvl w:val="1"/>
    </w:pPr>
    <w:rPr>
      <w:rFonts w:asciiTheme="majorHAnsi" w:hAnsiTheme="majorHAnsi" w:cstheme="majorBidi"/>
      <w:bCs/>
      <w:sz w:val="30"/>
      <w:szCs w:val="32"/>
    </w:rPr>
  </w:style>
  <w:style w:type="paragraph" w:styleId="3">
    <w:name w:val="heading 3"/>
    <w:basedOn w:val="a"/>
    <w:next w:val="a"/>
    <w:uiPriority w:val="9"/>
    <w:unhideWhenUsed/>
    <w:qFormat/>
    <w:pPr>
      <w:spacing w:beforeAutospacing="1" w:afterAutospacing="1"/>
      <w:jc w:val="left"/>
      <w:outlineLvl w:val="2"/>
    </w:pPr>
    <w:rPr>
      <w:rFonts w:ascii="宋体" w:eastAsia="宋体" w:hAnsi="宋体" w:cs="Times New Roman" w:hint="eastAsia"/>
      <w:b/>
      <w:bCs/>
      <w:sz w:val="27"/>
      <w:szCs w:val="27"/>
      <w:lang w:eastAsia="zh-CN"/>
    </w:rPr>
  </w:style>
  <w:style w:type="paragraph" w:styleId="5">
    <w:name w:val="heading 5"/>
    <w:basedOn w:val="a"/>
    <w:next w:val="a"/>
    <w:uiPriority w:val="9"/>
    <w:semiHidden/>
    <w:unhideWhenUsed/>
    <w:qFormat/>
    <w:pPr>
      <w:spacing w:beforeAutospacing="1" w:afterAutospacing="1"/>
      <w:jc w:val="left"/>
      <w:outlineLvl w:val="4"/>
    </w:pPr>
    <w:rPr>
      <w:rFonts w:ascii="宋体" w:eastAsia="宋体" w:hAnsi="宋体" w:cs="Times New Roman" w:hint="eastAsia"/>
      <w:b/>
      <w:bCs/>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semiHidden/>
    <w:unhideWhenUsed/>
    <w:qFormat/>
    <w:pPr>
      <w:ind w:left="1680"/>
    </w:pPr>
    <w:rPr>
      <w:rFonts w:cstheme="minorHAnsi"/>
      <w:sz w:val="18"/>
      <w:szCs w:val="18"/>
    </w:rPr>
  </w:style>
  <w:style w:type="paragraph" w:styleId="a3">
    <w:name w:val="Body Text"/>
    <w:basedOn w:val="a"/>
    <w:uiPriority w:val="1"/>
    <w:qFormat/>
    <w:pPr>
      <w:spacing w:before="197"/>
      <w:ind w:left="120" w:firstLine="559"/>
    </w:pPr>
    <w:rPr>
      <w:rFonts w:ascii="仿宋" w:hAnsi="仿宋"/>
      <w:szCs w:val="28"/>
    </w:rPr>
  </w:style>
  <w:style w:type="paragraph" w:styleId="TOC5">
    <w:name w:val="toc 5"/>
    <w:basedOn w:val="a"/>
    <w:next w:val="a"/>
    <w:uiPriority w:val="39"/>
    <w:semiHidden/>
    <w:unhideWhenUsed/>
    <w:qFormat/>
    <w:pPr>
      <w:ind w:left="1120"/>
    </w:pPr>
    <w:rPr>
      <w:rFonts w:cstheme="minorHAnsi"/>
      <w:sz w:val="18"/>
      <w:szCs w:val="18"/>
    </w:rPr>
  </w:style>
  <w:style w:type="paragraph" w:styleId="TOC3">
    <w:name w:val="toc 3"/>
    <w:basedOn w:val="a"/>
    <w:next w:val="a"/>
    <w:uiPriority w:val="39"/>
    <w:unhideWhenUsed/>
    <w:qFormat/>
    <w:pPr>
      <w:ind w:left="560"/>
    </w:pPr>
    <w:rPr>
      <w:rFonts w:cstheme="minorHAnsi"/>
      <w:i/>
      <w:iCs/>
      <w:sz w:val="20"/>
      <w:szCs w:val="20"/>
    </w:rPr>
  </w:style>
  <w:style w:type="paragraph" w:styleId="TOC8">
    <w:name w:val="toc 8"/>
    <w:basedOn w:val="a"/>
    <w:next w:val="a"/>
    <w:uiPriority w:val="39"/>
    <w:semiHidden/>
    <w:unhideWhenUsed/>
    <w:qFormat/>
    <w:pPr>
      <w:ind w:left="1960"/>
    </w:pPr>
    <w:rPr>
      <w:rFonts w:cstheme="minorHAnsi"/>
      <w:sz w:val="18"/>
      <w:szCs w:val="18"/>
    </w:rPr>
  </w:style>
  <w:style w:type="paragraph" w:styleId="a4">
    <w:name w:val="Date"/>
    <w:basedOn w:val="a"/>
    <w:next w:val="a"/>
    <w:link w:val="a5"/>
    <w:uiPriority w:val="99"/>
    <w:semiHidden/>
    <w:unhideWhenUsed/>
    <w:qFormat/>
    <w:pPr>
      <w:ind w:leftChars="2500" w:left="100"/>
    </w:pPr>
  </w:style>
  <w:style w:type="paragraph" w:styleId="a6">
    <w:name w:val="footer"/>
    <w:basedOn w:val="a"/>
    <w:link w:val="a7"/>
    <w:uiPriority w:val="99"/>
    <w:unhideWhenUsed/>
    <w:qFormat/>
    <w:pPr>
      <w:tabs>
        <w:tab w:val="center" w:pos="4153"/>
        <w:tab w:val="right" w:pos="8306"/>
      </w:tabs>
      <w:spacing w:line="240" w:lineRule="auto"/>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pacing w:line="240" w:lineRule="auto"/>
      <w:jc w:val="center"/>
    </w:pPr>
    <w:rPr>
      <w:sz w:val="18"/>
      <w:szCs w:val="18"/>
    </w:rPr>
  </w:style>
  <w:style w:type="paragraph" w:styleId="TOC1">
    <w:name w:val="toc 1"/>
    <w:basedOn w:val="a"/>
    <w:next w:val="a"/>
    <w:uiPriority w:val="39"/>
    <w:unhideWhenUsed/>
    <w:qFormat/>
    <w:pPr>
      <w:spacing w:before="120" w:after="120"/>
    </w:pPr>
    <w:rPr>
      <w:rFonts w:cstheme="minorHAnsi"/>
      <w:b/>
      <w:bCs/>
      <w:caps/>
      <w:sz w:val="20"/>
      <w:szCs w:val="20"/>
    </w:rPr>
  </w:style>
  <w:style w:type="paragraph" w:styleId="TOC4">
    <w:name w:val="toc 4"/>
    <w:basedOn w:val="a"/>
    <w:next w:val="a"/>
    <w:uiPriority w:val="39"/>
    <w:semiHidden/>
    <w:unhideWhenUsed/>
    <w:qFormat/>
    <w:pPr>
      <w:ind w:left="840"/>
    </w:pPr>
    <w:rPr>
      <w:rFonts w:cstheme="minorHAnsi"/>
      <w:sz w:val="18"/>
      <w:szCs w:val="18"/>
    </w:rPr>
  </w:style>
  <w:style w:type="paragraph" w:styleId="TOC6">
    <w:name w:val="toc 6"/>
    <w:basedOn w:val="a"/>
    <w:next w:val="a"/>
    <w:uiPriority w:val="39"/>
    <w:semiHidden/>
    <w:unhideWhenUsed/>
    <w:qFormat/>
    <w:pPr>
      <w:ind w:left="1400"/>
    </w:pPr>
    <w:rPr>
      <w:rFonts w:cstheme="minorHAnsi"/>
      <w:sz w:val="18"/>
      <w:szCs w:val="18"/>
    </w:rPr>
  </w:style>
  <w:style w:type="paragraph" w:styleId="TOC2">
    <w:name w:val="toc 2"/>
    <w:basedOn w:val="a"/>
    <w:next w:val="a"/>
    <w:uiPriority w:val="39"/>
    <w:unhideWhenUsed/>
    <w:qFormat/>
    <w:pPr>
      <w:ind w:left="280"/>
    </w:pPr>
    <w:rPr>
      <w:rFonts w:cstheme="minorHAnsi"/>
      <w:smallCaps/>
      <w:sz w:val="20"/>
      <w:szCs w:val="20"/>
    </w:rPr>
  </w:style>
  <w:style w:type="paragraph" w:styleId="TOC9">
    <w:name w:val="toc 9"/>
    <w:basedOn w:val="a"/>
    <w:next w:val="a"/>
    <w:uiPriority w:val="39"/>
    <w:semiHidden/>
    <w:unhideWhenUsed/>
    <w:qFormat/>
    <w:pPr>
      <w:ind w:left="2240"/>
    </w:pPr>
    <w:rPr>
      <w:rFonts w:cstheme="minorHAnsi"/>
      <w:sz w:val="18"/>
      <w:szCs w:val="18"/>
    </w:rPr>
  </w:style>
  <w:style w:type="paragraph" w:styleId="aa">
    <w:name w:val="Normal (Web)"/>
    <w:basedOn w:val="a"/>
    <w:uiPriority w:val="99"/>
    <w:semiHidden/>
    <w:unhideWhenUsed/>
    <w:qFormat/>
    <w:pPr>
      <w:spacing w:beforeAutospacing="1" w:afterAutospacing="1"/>
      <w:jc w:val="left"/>
    </w:pPr>
    <w:rPr>
      <w:rFonts w:cs="Times New Roman"/>
      <w:sz w:val="24"/>
      <w:lang w:eastAsia="zh-CN"/>
    </w:rPr>
  </w:style>
  <w:style w:type="character" w:styleId="ab">
    <w:name w:val="page number"/>
    <w:basedOn w:val="a0"/>
    <w:uiPriority w:val="99"/>
    <w:semiHidden/>
    <w:unhideWhenUsed/>
    <w:qFormat/>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uiPriority w:val="1"/>
    <w:qFormat/>
  </w:style>
  <w:style w:type="paragraph" w:customStyle="1" w:styleId="TableParagraph">
    <w:name w:val="Table Paragraph"/>
    <w:basedOn w:val="a"/>
    <w:uiPriority w:val="1"/>
    <w:qFormat/>
  </w:style>
  <w:style w:type="paragraph" w:customStyle="1" w:styleId="TOC10">
    <w:name w:val="TOC 标题1"/>
    <w:basedOn w:val="1"/>
    <w:next w:val="a"/>
    <w:uiPriority w:val="39"/>
    <w:unhideWhenUsed/>
    <w:qFormat/>
    <w:pPr>
      <w:keepNext/>
      <w:keepLines/>
      <w:spacing w:before="480" w:line="276" w:lineRule="auto"/>
      <w:ind w:firstLine="0"/>
      <w:outlineLvl w:val="9"/>
    </w:pPr>
    <w:rPr>
      <w:rFonts w:asciiTheme="majorHAnsi" w:hAnsiTheme="majorHAnsi" w:cstheme="majorBidi"/>
      <w:color w:val="365F91" w:themeColor="accent1" w:themeShade="BF"/>
    </w:rPr>
  </w:style>
  <w:style w:type="character" w:customStyle="1" w:styleId="20">
    <w:name w:val="标题 2 字符"/>
    <w:basedOn w:val="a0"/>
    <w:link w:val="2"/>
    <w:uiPriority w:val="9"/>
    <w:qFormat/>
    <w:rPr>
      <w:rFonts w:asciiTheme="majorHAnsi" w:eastAsia="仿宋" w:hAnsiTheme="majorHAnsi" w:cstheme="majorBidi"/>
      <w:bCs/>
      <w:sz w:val="30"/>
      <w:szCs w:val="32"/>
    </w:rPr>
  </w:style>
  <w:style w:type="character" w:customStyle="1" w:styleId="a5">
    <w:name w:val="日期 字符"/>
    <w:basedOn w:val="a0"/>
    <w:link w:val="a4"/>
    <w:uiPriority w:val="99"/>
    <w:semiHidden/>
    <w:qFormat/>
    <w:rPr>
      <w:rFonts w:eastAsia="仿宋" w:cs="Times New Roman (正文 CS 字体)"/>
      <w:sz w:val="28"/>
    </w:rPr>
  </w:style>
  <w:style w:type="character" w:customStyle="1" w:styleId="a9">
    <w:name w:val="页眉 字符"/>
    <w:basedOn w:val="a0"/>
    <w:link w:val="a8"/>
    <w:uiPriority w:val="99"/>
    <w:qFormat/>
    <w:rPr>
      <w:rFonts w:eastAsia="仿宋" w:cs="Times New Roman (正文 CS 字体)"/>
      <w:sz w:val="18"/>
      <w:szCs w:val="18"/>
    </w:rPr>
  </w:style>
  <w:style w:type="character" w:customStyle="1" w:styleId="a7">
    <w:name w:val="页脚 字符"/>
    <w:basedOn w:val="a0"/>
    <w:link w:val="a6"/>
    <w:uiPriority w:val="99"/>
    <w:qFormat/>
    <w:rPr>
      <w:rFonts w:eastAsia="仿宋" w:cs="Times New Roman (正文 CS 字体)"/>
      <w:sz w:val="18"/>
      <w:szCs w:val="18"/>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3217</Words>
  <Characters>18343</Characters>
  <Application>Microsoft Office Word</Application>
  <DocSecurity>0</DocSecurity>
  <Lines>152</Lines>
  <Paragraphs>43</Paragraphs>
  <ScaleCrop>false</ScaleCrop>
  <Company/>
  <LinksUpToDate>false</LinksUpToDate>
  <CharactersWithSpaces>21517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红火火</dc:creator>
  <cp:lastModifiedBy>王晓辉</cp:lastModifiedBy>
  <cp:revision>3</cp:revision>
  <cp:lastPrinted>2026-06-11T10:21:00Z</cp:lastPrinted>
  <dcterms:created xsi:type="dcterms:W3CDTF">2026-10-08T02:41:00Z</dcterms:created>
  <dcterms:modified xsi:type="dcterms:W3CDTF">2026-10-08T02:43:00Z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WPS 文字</vt:lpwstr>
  </property>
  <property fmtid="{D5CDD505-2E9C-101B-9397-08002B2CF9AE}" pid="4" name="LastSaved">
    <vt:filetime>2021-11-30T00:00:00Z</vt:filetime>
  </property>
  <property fmtid="{D5CDD505-2E9C-101B-9397-08002B2CF9AE}" pid="5" name="KSOProductBuildVer">
    <vt:lpwstr>2052-12.1.0.29161</vt:lpwstr>
  </property>
  <property fmtid="{D5CDD505-2E9C-101B-9397-08002B2CF9AE}" pid="6" name="ICV">
    <vt:lpwstr>3E1B19AC21B342B5838717728839235D_13</vt:lpwstr>
  </property>
  <property fmtid="{D5CDD505-2E9C-101B-9397-08002B2CF9AE}" pid="7" name="KSOTemplateDocerSaveRecord">
    <vt:lpwstr>eyJoZGlkIjoiODdjM2MxYTg3MTc2OGE5MDBhODA0OGU5NDFkZjA5ZTEiLCJ1c2VySWQiOiIyMjkyNjU3NDgifQ==</vt:lpwstr>
  </property>
</Properties>
</file>