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04DB9" w14:textId="77777777" w:rsidR="003E4FA5" w:rsidRDefault="003E4FA5">
      <w:pPr>
        <w:spacing w:line="480" w:lineRule="exact"/>
        <w:ind w:firstLine="400"/>
        <w:rPr>
          <w:rFonts w:ascii="Times New Roman" w:eastAsia="Times New Roman" w:hAnsi="Times New Roman" w:cs="Times New Roman"/>
          <w:color w:val="000000" w:themeColor="text1"/>
          <w:sz w:val="20"/>
          <w:szCs w:val="20"/>
        </w:rPr>
      </w:pPr>
    </w:p>
    <w:p w14:paraId="6A0386BB" w14:textId="77777777" w:rsidR="00D85CF2" w:rsidRDefault="00D85CF2" w:rsidP="00D85CF2">
      <w:pPr>
        <w:spacing w:line="480" w:lineRule="exact"/>
        <w:ind w:firstLine="400"/>
        <w:rPr>
          <w:rFonts w:ascii="Times New Roman" w:eastAsia="Times New Roman" w:hAnsi="Times New Roman" w:cs="Times New Roman"/>
          <w:sz w:val="20"/>
          <w:szCs w:val="20"/>
        </w:rPr>
      </w:pPr>
      <w:bookmarkStart w:id="0" w:name="_Toc21950"/>
      <w:bookmarkStart w:id="1" w:name="_Toc1697"/>
    </w:p>
    <w:p w14:paraId="245496FE" w14:textId="77777777" w:rsidR="00D85CF2" w:rsidRPr="00885EBE" w:rsidRDefault="00D85CF2" w:rsidP="00D85CF2">
      <w:pPr>
        <w:spacing w:line="480" w:lineRule="exact"/>
        <w:ind w:firstLine="400"/>
        <w:rPr>
          <w:rFonts w:ascii="Times New Roman" w:eastAsia="Times New Roman" w:hAnsi="Times New Roman" w:cs="Times New Roman"/>
          <w:sz w:val="20"/>
          <w:szCs w:val="20"/>
        </w:rPr>
      </w:pPr>
    </w:p>
    <w:p w14:paraId="5C3146B1" w14:textId="77777777" w:rsidR="00D85CF2" w:rsidRPr="00885EBE" w:rsidRDefault="00D85CF2" w:rsidP="00D85CF2">
      <w:pPr>
        <w:spacing w:line="480" w:lineRule="exact"/>
        <w:ind w:firstLine="400"/>
        <w:rPr>
          <w:rFonts w:ascii="Times New Roman" w:eastAsia="Times New Roman" w:hAnsi="Times New Roman" w:cs="Times New Roman"/>
          <w:sz w:val="20"/>
          <w:szCs w:val="20"/>
        </w:rPr>
      </w:pPr>
    </w:p>
    <w:p w14:paraId="6971EBE2" w14:textId="77777777" w:rsidR="00D85CF2" w:rsidRPr="00885EBE" w:rsidRDefault="00D85CF2" w:rsidP="00D85CF2">
      <w:pPr>
        <w:spacing w:line="480" w:lineRule="exact"/>
        <w:ind w:firstLine="400"/>
        <w:rPr>
          <w:rFonts w:ascii="Times New Roman" w:eastAsia="Times New Roman" w:hAnsi="Times New Roman" w:cs="Times New Roman"/>
          <w:sz w:val="20"/>
          <w:szCs w:val="20"/>
        </w:rPr>
      </w:pPr>
    </w:p>
    <w:p w14:paraId="52733968" w14:textId="77777777" w:rsidR="00D85CF2" w:rsidRPr="00885EBE" w:rsidRDefault="00D85CF2" w:rsidP="00D85CF2">
      <w:pPr>
        <w:spacing w:line="480" w:lineRule="exact"/>
        <w:ind w:firstLine="400"/>
        <w:rPr>
          <w:rFonts w:ascii="Times New Roman" w:eastAsia="宋体" w:hAnsi="Times New Roman" w:cs="Times New Roman"/>
          <w:sz w:val="20"/>
          <w:szCs w:val="20"/>
          <w:lang w:eastAsia="zh-CN"/>
        </w:rPr>
      </w:pPr>
    </w:p>
    <w:p w14:paraId="296E31BC" w14:textId="77777777" w:rsidR="00D85CF2" w:rsidRPr="00885EBE" w:rsidRDefault="00D85CF2" w:rsidP="00D85CF2">
      <w:pPr>
        <w:spacing w:line="480" w:lineRule="exact"/>
        <w:ind w:firstLine="400"/>
        <w:rPr>
          <w:rFonts w:ascii="Times New Roman" w:eastAsia="宋体" w:hAnsi="Times New Roman" w:cs="Times New Roman"/>
          <w:sz w:val="20"/>
          <w:szCs w:val="20"/>
          <w:lang w:eastAsia="zh-CN"/>
        </w:rPr>
      </w:pPr>
    </w:p>
    <w:p w14:paraId="0376C2CE" w14:textId="77777777" w:rsidR="00D85CF2" w:rsidRPr="00885EBE" w:rsidRDefault="00D85CF2" w:rsidP="00D85CF2">
      <w:pPr>
        <w:spacing w:line="480" w:lineRule="exact"/>
        <w:ind w:firstLine="400"/>
        <w:rPr>
          <w:rFonts w:ascii="Times New Roman" w:eastAsia="宋体" w:hAnsi="Times New Roman" w:cs="Times New Roman"/>
          <w:sz w:val="20"/>
          <w:szCs w:val="20"/>
          <w:lang w:eastAsia="zh-CN"/>
        </w:rPr>
      </w:pPr>
    </w:p>
    <w:p w14:paraId="7E1C1394" w14:textId="77777777" w:rsidR="00D85CF2" w:rsidRPr="00885EBE" w:rsidRDefault="00D85CF2" w:rsidP="00D85CF2">
      <w:pPr>
        <w:widowControl w:val="0"/>
        <w:snapToGrid w:val="0"/>
        <w:spacing w:afterLines="50" w:after="120" w:line="240" w:lineRule="auto"/>
        <w:ind w:firstLineChars="0" w:firstLine="0"/>
        <w:contextualSpacing/>
        <w:jc w:val="center"/>
        <w:rPr>
          <w:rFonts w:ascii="方正小标宋简体" w:eastAsia="方正小标宋简体" w:hAnsi="华文中宋" w:cs="华文中宋" w:hint="eastAsia"/>
          <w:color w:val="000000"/>
          <w:kern w:val="2"/>
          <w:sz w:val="44"/>
          <w:szCs w:val="44"/>
          <w:lang w:eastAsia="zh-CN"/>
        </w:rPr>
      </w:pPr>
      <w:r w:rsidRPr="00885EBE">
        <w:rPr>
          <w:rFonts w:ascii="方正小标宋简体" w:eastAsia="方正小标宋简体" w:hAnsi="华文中宋" w:cs="华文中宋"/>
          <w:color w:val="000000"/>
          <w:kern w:val="2"/>
          <w:sz w:val="44"/>
          <w:szCs w:val="44"/>
          <w:lang w:eastAsia="zh-CN"/>
        </w:rPr>
        <w:t>河南省律师协会税收法律专业委员会</w:t>
      </w:r>
    </w:p>
    <w:p w14:paraId="1627FE31" w14:textId="77777777" w:rsidR="00D85CF2" w:rsidRPr="00885EBE" w:rsidRDefault="00D85CF2" w:rsidP="00D85CF2">
      <w:pPr>
        <w:widowControl w:val="0"/>
        <w:snapToGrid w:val="0"/>
        <w:spacing w:afterLines="50" w:after="120" w:line="240" w:lineRule="auto"/>
        <w:ind w:firstLineChars="0" w:firstLine="0"/>
        <w:contextualSpacing/>
        <w:jc w:val="center"/>
        <w:rPr>
          <w:rFonts w:ascii="方正小标宋简体" w:eastAsia="方正小标宋简体" w:hAnsi="华文中宋" w:cs="华文中宋" w:hint="eastAsia"/>
          <w:color w:val="000000"/>
          <w:kern w:val="2"/>
          <w:sz w:val="44"/>
          <w:szCs w:val="44"/>
          <w:lang w:eastAsia="zh-CN"/>
        </w:rPr>
      </w:pPr>
      <w:r w:rsidRPr="00885EBE">
        <w:rPr>
          <w:rFonts w:ascii="方正小标宋简体" w:eastAsia="方正小标宋简体" w:hAnsi="华文中宋" w:cs="华文中宋"/>
          <w:color w:val="000000"/>
          <w:kern w:val="2"/>
          <w:sz w:val="44"/>
          <w:szCs w:val="44"/>
          <w:lang w:eastAsia="zh-CN"/>
        </w:rPr>
        <w:t>税 法 速 递</w:t>
      </w:r>
    </w:p>
    <w:p w14:paraId="174F6729" w14:textId="77777777" w:rsidR="00D85CF2" w:rsidRPr="00885EBE" w:rsidRDefault="00D85CF2" w:rsidP="00D85CF2">
      <w:pPr>
        <w:spacing w:afterLines="50" w:after="120" w:line="240" w:lineRule="auto"/>
        <w:ind w:firstLine="840"/>
        <w:jc w:val="center"/>
        <w:rPr>
          <w:rFonts w:ascii="微软雅黑" w:eastAsia="微软雅黑" w:hAnsi="微软雅黑" w:cs="微软雅黑" w:hint="eastAsia"/>
          <w:sz w:val="42"/>
          <w:szCs w:val="42"/>
          <w:lang w:eastAsia="zh-CN"/>
        </w:rPr>
      </w:pPr>
    </w:p>
    <w:p w14:paraId="5C353CB3" w14:textId="77777777" w:rsidR="00D85CF2" w:rsidRPr="00885EBE" w:rsidRDefault="00D85CF2" w:rsidP="00D85CF2">
      <w:pPr>
        <w:spacing w:line="480" w:lineRule="exact"/>
        <w:ind w:firstLine="840"/>
        <w:rPr>
          <w:rFonts w:ascii="微软雅黑" w:eastAsia="微软雅黑" w:hAnsi="微软雅黑" w:cs="微软雅黑" w:hint="eastAsia"/>
          <w:sz w:val="42"/>
          <w:szCs w:val="42"/>
          <w:lang w:eastAsia="zh-CN"/>
        </w:rPr>
      </w:pPr>
    </w:p>
    <w:p w14:paraId="016690B3" w14:textId="77777777" w:rsidR="00D85CF2" w:rsidRPr="00885EBE" w:rsidRDefault="00D85CF2" w:rsidP="00D85CF2">
      <w:pPr>
        <w:spacing w:line="480" w:lineRule="exact"/>
        <w:ind w:firstLine="840"/>
        <w:rPr>
          <w:rFonts w:ascii="微软雅黑" w:eastAsia="微软雅黑" w:hAnsi="微软雅黑" w:cs="微软雅黑" w:hint="eastAsia"/>
          <w:sz w:val="42"/>
          <w:szCs w:val="42"/>
          <w:lang w:eastAsia="zh-CN"/>
        </w:rPr>
      </w:pPr>
    </w:p>
    <w:p w14:paraId="56C9C532" w14:textId="77777777" w:rsidR="00D85CF2" w:rsidRPr="00885EBE" w:rsidRDefault="00D85CF2" w:rsidP="00D85CF2">
      <w:pPr>
        <w:spacing w:line="480" w:lineRule="exact"/>
        <w:ind w:firstLine="840"/>
        <w:rPr>
          <w:rFonts w:ascii="微软雅黑" w:eastAsia="微软雅黑" w:hAnsi="微软雅黑" w:cs="微软雅黑" w:hint="eastAsia"/>
          <w:sz w:val="42"/>
          <w:szCs w:val="42"/>
          <w:lang w:eastAsia="zh-CN"/>
        </w:rPr>
      </w:pPr>
    </w:p>
    <w:p w14:paraId="159EE26A" w14:textId="77777777" w:rsidR="00D85CF2" w:rsidRPr="00885EBE" w:rsidRDefault="00D85CF2" w:rsidP="00D85CF2">
      <w:pPr>
        <w:spacing w:line="480" w:lineRule="exact"/>
        <w:ind w:firstLine="840"/>
        <w:rPr>
          <w:rFonts w:ascii="微软雅黑" w:eastAsia="微软雅黑" w:hAnsi="微软雅黑" w:cs="微软雅黑" w:hint="eastAsia"/>
          <w:sz w:val="42"/>
          <w:szCs w:val="42"/>
          <w:lang w:eastAsia="zh-CN"/>
        </w:rPr>
      </w:pPr>
    </w:p>
    <w:p w14:paraId="0B60B3E2" w14:textId="77777777" w:rsidR="00D85CF2" w:rsidRPr="00885EBE" w:rsidRDefault="00D85CF2" w:rsidP="00D85CF2">
      <w:pPr>
        <w:spacing w:line="480" w:lineRule="exact"/>
        <w:ind w:firstLine="840"/>
        <w:rPr>
          <w:rFonts w:ascii="微软雅黑" w:eastAsia="微软雅黑" w:hAnsi="微软雅黑" w:cs="微软雅黑" w:hint="eastAsia"/>
          <w:sz w:val="42"/>
          <w:szCs w:val="42"/>
          <w:lang w:eastAsia="zh-CN"/>
        </w:rPr>
      </w:pPr>
    </w:p>
    <w:p w14:paraId="17E1A17F" w14:textId="77777777" w:rsidR="00D85CF2" w:rsidRPr="00885EBE" w:rsidRDefault="00D85CF2" w:rsidP="00D85CF2">
      <w:pPr>
        <w:spacing w:line="480" w:lineRule="exact"/>
        <w:ind w:firstLine="840"/>
        <w:rPr>
          <w:rFonts w:ascii="微软雅黑" w:eastAsia="微软雅黑" w:hAnsi="微软雅黑" w:cs="微软雅黑" w:hint="eastAsia"/>
          <w:sz w:val="42"/>
          <w:szCs w:val="42"/>
          <w:lang w:eastAsia="zh-CN"/>
        </w:rPr>
      </w:pPr>
    </w:p>
    <w:p w14:paraId="45FD480C" w14:textId="77777777" w:rsidR="00D85CF2" w:rsidRPr="00885EBE" w:rsidRDefault="00D85CF2" w:rsidP="00D85CF2">
      <w:pPr>
        <w:spacing w:line="480" w:lineRule="exact"/>
        <w:ind w:firstLine="840"/>
        <w:rPr>
          <w:rFonts w:ascii="微软雅黑" w:eastAsia="微软雅黑" w:hAnsi="微软雅黑" w:cs="微软雅黑" w:hint="eastAsia"/>
          <w:sz w:val="42"/>
          <w:szCs w:val="42"/>
          <w:lang w:eastAsia="zh-CN"/>
        </w:rPr>
      </w:pPr>
    </w:p>
    <w:p w14:paraId="20C1D611" w14:textId="77777777" w:rsidR="00D85CF2" w:rsidRPr="00885EBE" w:rsidRDefault="00D85CF2" w:rsidP="00D85CF2">
      <w:pPr>
        <w:spacing w:line="480" w:lineRule="exact"/>
        <w:ind w:firstLine="840"/>
        <w:rPr>
          <w:rFonts w:ascii="微软雅黑" w:eastAsia="微软雅黑" w:hAnsi="微软雅黑" w:cs="微软雅黑" w:hint="eastAsia"/>
          <w:sz w:val="42"/>
          <w:szCs w:val="42"/>
          <w:lang w:eastAsia="zh-CN"/>
        </w:rPr>
      </w:pPr>
    </w:p>
    <w:p w14:paraId="473E1E9F" w14:textId="77777777" w:rsidR="00D85CF2" w:rsidRPr="00885EBE" w:rsidRDefault="00D85CF2" w:rsidP="00D85CF2">
      <w:pPr>
        <w:spacing w:line="480" w:lineRule="exact"/>
        <w:ind w:firstLine="840"/>
        <w:rPr>
          <w:rFonts w:ascii="微软雅黑" w:eastAsia="微软雅黑" w:hAnsi="微软雅黑" w:cs="微软雅黑" w:hint="eastAsia"/>
          <w:sz w:val="42"/>
          <w:szCs w:val="42"/>
          <w:lang w:eastAsia="zh-CN"/>
        </w:rPr>
      </w:pPr>
    </w:p>
    <w:p w14:paraId="35298870" w14:textId="77777777" w:rsidR="00D85CF2" w:rsidRPr="00885EBE" w:rsidRDefault="00D85CF2" w:rsidP="00D85CF2">
      <w:pPr>
        <w:spacing w:line="480" w:lineRule="exact"/>
        <w:ind w:firstLine="840"/>
        <w:rPr>
          <w:rFonts w:ascii="微软雅黑" w:eastAsia="微软雅黑" w:hAnsi="微软雅黑" w:cs="微软雅黑" w:hint="eastAsia"/>
          <w:sz w:val="42"/>
          <w:szCs w:val="42"/>
          <w:lang w:eastAsia="zh-CN"/>
        </w:rPr>
      </w:pPr>
    </w:p>
    <w:p w14:paraId="385C8114" w14:textId="77777777" w:rsidR="00D85CF2" w:rsidRPr="00885EBE" w:rsidRDefault="00D85CF2" w:rsidP="00D85CF2">
      <w:pPr>
        <w:spacing w:line="480" w:lineRule="exact"/>
        <w:ind w:firstLine="680"/>
        <w:rPr>
          <w:rFonts w:ascii="微软雅黑" w:eastAsia="微软雅黑" w:hAnsi="微软雅黑" w:cs="微软雅黑" w:hint="eastAsia"/>
          <w:sz w:val="34"/>
          <w:szCs w:val="34"/>
          <w:lang w:eastAsia="zh-CN"/>
        </w:rPr>
      </w:pPr>
    </w:p>
    <w:p w14:paraId="4FD0BF65" w14:textId="77777777" w:rsidR="00D85CF2" w:rsidRPr="00885EBE" w:rsidRDefault="00D85CF2" w:rsidP="00D85CF2">
      <w:pPr>
        <w:spacing w:line="480" w:lineRule="exact"/>
        <w:ind w:firstLine="680"/>
        <w:rPr>
          <w:rFonts w:ascii="微软雅黑" w:eastAsia="微软雅黑" w:hAnsi="微软雅黑" w:cs="微软雅黑" w:hint="eastAsia"/>
          <w:sz w:val="34"/>
          <w:szCs w:val="34"/>
          <w:lang w:eastAsia="zh-CN"/>
        </w:rPr>
      </w:pPr>
    </w:p>
    <w:p w14:paraId="164B6B72" w14:textId="77777777" w:rsidR="00D85CF2" w:rsidRPr="00885EBE" w:rsidRDefault="00D85CF2" w:rsidP="00D85CF2">
      <w:pPr>
        <w:spacing w:line="480" w:lineRule="exact"/>
        <w:ind w:right="380" w:firstLineChars="46" w:firstLine="166"/>
        <w:jc w:val="center"/>
        <w:rPr>
          <w:rFonts w:ascii="华文中宋" w:eastAsia="华文中宋" w:hAnsi="华文中宋" w:cs="微软雅黑" w:hint="eastAsia"/>
          <w:sz w:val="36"/>
          <w:szCs w:val="36"/>
          <w:lang w:eastAsia="zh-CN"/>
        </w:rPr>
      </w:pPr>
    </w:p>
    <w:p w14:paraId="6665C183" w14:textId="0337814D" w:rsidR="00D85CF2" w:rsidRPr="00885EBE" w:rsidRDefault="00D85CF2" w:rsidP="00D85CF2">
      <w:pPr>
        <w:widowControl w:val="0"/>
        <w:tabs>
          <w:tab w:val="right" w:leader="dot" w:pos="8306"/>
        </w:tabs>
        <w:spacing w:line="480" w:lineRule="exact"/>
        <w:ind w:leftChars="-1" w:left="-1" w:firstLineChars="0" w:hanging="2"/>
        <w:jc w:val="center"/>
        <w:rPr>
          <w:rFonts w:ascii="Times New Roman" w:eastAsia="楷体" w:hAnsi="Times New Roman" w:cs="Times New Roman"/>
          <w:color w:val="000000"/>
          <w:kern w:val="2"/>
          <w:sz w:val="32"/>
          <w:szCs w:val="32"/>
          <w:lang w:eastAsia="zh-CN"/>
        </w:rPr>
      </w:pPr>
      <w:r w:rsidRPr="00885EBE">
        <w:rPr>
          <w:rFonts w:ascii="Times New Roman" w:eastAsia="楷体" w:hAnsi="Times New Roman" w:cs="Times New Roman"/>
          <w:color w:val="000000"/>
          <w:kern w:val="2"/>
          <w:sz w:val="32"/>
          <w:szCs w:val="32"/>
          <w:lang w:eastAsia="zh-CN"/>
        </w:rPr>
        <w:t>2026</w:t>
      </w:r>
      <w:r w:rsidRPr="00885EBE">
        <w:rPr>
          <w:rFonts w:ascii="Times New Roman" w:eastAsia="楷体" w:hAnsi="Times New Roman" w:cs="Times New Roman"/>
          <w:color w:val="000000"/>
          <w:kern w:val="2"/>
          <w:sz w:val="32"/>
          <w:szCs w:val="32"/>
          <w:lang w:eastAsia="zh-CN"/>
        </w:rPr>
        <w:t>年</w:t>
      </w:r>
      <w:r>
        <w:rPr>
          <w:rFonts w:ascii="Times New Roman" w:eastAsia="楷体" w:hAnsi="Times New Roman" w:cs="Times New Roman" w:hint="eastAsia"/>
          <w:color w:val="000000"/>
          <w:kern w:val="2"/>
          <w:sz w:val="32"/>
          <w:szCs w:val="32"/>
          <w:lang w:eastAsia="zh-CN"/>
        </w:rPr>
        <w:t>10</w:t>
      </w:r>
      <w:r w:rsidRPr="00885EBE">
        <w:rPr>
          <w:rFonts w:ascii="Times New Roman" w:eastAsia="楷体" w:hAnsi="Times New Roman" w:cs="Times New Roman"/>
          <w:color w:val="000000"/>
          <w:kern w:val="2"/>
          <w:sz w:val="32"/>
          <w:szCs w:val="32"/>
          <w:lang w:eastAsia="zh-CN"/>
        </w:rPr>
        <w:t>月</w:t>
      </w:r>
    </w:p>
    <w:p w14:paraId="783B9CFA" w14:textId="77777777" w:rsidR="003E4FA5" w:rsidRDefault="003E4FA5">
      <w:pPr>
        <w:pStyle w:val="TOC2"/>
        <w:widowControl w:val="0"/>
        <w:tabs>
          <w:tab w:val="right" w:leader="dot" w:pos="8306"/>
        </w:tabs>
        <w:spacing w:line="480" w:lineRule="exact"/>
        <w:ind w:leftChars="200" w:left="560" w:firstLineChars="0" w:firstLine="0"/>
        <w:jc w:val="center"/>
        <w:rPr>
          <w:rFonts w:ascii="华文中宋" w:eastAsia="华文中宋" w:hAnsi="华文中宋" w:cs="华文中宋" w:hint="eastAsia"/>
          <w:b/>
          <w:bCs/>
          <w:smallCaps w:val="0"/>
          <w:color w:val="000000"/>
          <w:kern w:val="2"/>
          <w:sz w:val="36"/>
          <w:szCs w:val="36"/>
          <w:lang w:eastAsia="zh-CN"/>
        </w:rPr>
        <w:sectPr w:rsidR="003E4FA5">
          <w:headerReference w:type="even" r:id="rId8"/>
          <w:headerReference w:type="default" r:id="rId9"/>
          <w:footerReference w:type="even" r:id="rId10"/>
          <w:footerReference w:type="default" r:id="rId11"/>
          <w:headerReference w:type="first" r:id="rId12"/>
          <w:footerReference w:type="first" r:id="rId13"/>
          <w:pgSz w:w="11910" w:h="16840"/>
          <w:pgMar w:top="1380" w:right="1680" w:bottom="280" w:left="1680" w:header="947" w:footer="720" w:gutter="0"/>
          <w:cols w:space="720"/>
        </w:sectPr>
      </w:pPr>
    </w:p>
    <w:p w14:paraId="22022593" w14:textId="77777777" w:rsidR="003E4FA5" w:rsidRDefault="00000000">
      <w:pPr>
        <w:pStyle w:val="TOC2"/>
        <w:tabs>
          <w:tab w:val="right" w:leader="dot" w:pos="8630"/>
        </w:tabs>
        <w:adjustRightInd w:val="0"/>
        <w:snapToGrid w:val="0"/>
        <w:spacing w:beforeLines="100" w:before="240" w:afterLines="100" w:after="240"/>
        <w:ind w:left="0" w:firstLineChars="0" w:firstLine="0"/>
        <w:jc w:val="center"/>
        <w:rPr>
          <w:rFonts w:ascii="华文中宋" w:eastAsia="华文中宋" w:hAnsi="华文中宋" w:cs="华文中宋" w:hint="eastAsia"/>
          <w:color w:val="000000" w:themeColor="text1"/>
          <w:sz w:val="36"/>
          <w:szCs w:val="36"/>
          <w:lang w:eastAsia="zh-CN"/>
        </w:rPr>
      </w:pPr>
      <w:r>
        <w:rPr>
          <w:rFonts w:ascii="黑体" w:eastAsia="黑体" w:hAnsi="黑体" w:cs="黑体" w:hint="eastAsia"/>
          <w:bCs/>
          <w:smallCaps w:val="0"/>
          <w:color w:val="000000" w:themeColor="text1"/>
          <w:kern w:val="2"/>
          <w:sz w:val="48"/>
          <w:szCs w:val="48"/>
          <w:lang w:eastAsia="zh-CN"/>
        </w:rPr>
        <w:lastRenderedPageBreak/>
        <w:t>目  录</w:t>
      </w:r>
      <w:bookmarkEnd w:id="0"/>
      <w:bookmarkEnd w:id="1"/>
    </w:p>
    <w:bookmarkStart w:id="2" w:name="_Toc12028" w:displacedByCustomXml="next"/>
    <w:bookmarkStart w:id="3" w:name="_Toc20980" w:displacedByCustomXml="next"/>
    <w:bookmarkStart w:id="4" w:name="_Toc23636" w:displacedByCustomXml="next"/>
    <w:sdt>
      <w:sdtPr>
        <w:rPr>
          <w:rFonts w:ascii="宋体" w:eastAsia="宋体" w:hAnsi="宋体"/>
          <w:bCs/>
          <w:color w:val="000000" w:themeColor="text1"/>
          <w:sz w:val="21"/>
          <w:szCs w:val="28"/>
          <w:lang w:eastAsia="zh-CN"/>
        </w:rPr>
        <w:id w:val="147470947"/>
        <w15:color w:val="DBDBDB"/>
        <w:docPartObj>
          <w:docPartGallery w:val="Table of Contents"/>
          <w:docPartUnique/>
        </w:docPartObj>
      </w:sdtPr>
      <w:sdtEndPr>
        <w:rPr>
          <w:rFonts w:cs="宋体" w:hint="eastAsia"/>
          <w:sz w:val="24"/>
          <w:szCs w:val="24"/>
        </w:rPr>
      </w:sdtEndPr>
      <w:sdtContent>
        <w:p w14:paraId="47682A87" w14:textId="77777777" w:rsidR="003E4FA5" w:rsidRDefault="003E4FA5">
          <w:pPr>
            <w:spacing w:line="240" w:lineRule="auto"/>
            <w:ind w:firstLineChars="0" w:firstLine="0"/>
            <w:jc w:val="center"/>
            <w:rPr>
              <w:color w:val="000000" w:themeColor="text1"/>
            </w:rPr>
          </w:pPr>
        </w:p>
        <w:p w14:paraId="02346ABE" w14:textId="77777777" w:rsidR="003E4FA5" w:rsidRDefault="00000000">
          <w:pPr>
            <w:pStyle w:val="TOC1"/>
            <w:tabs>
              <w:tab w:val="right" w:leader="middleDot" w:pos="9750"/>
            </w:tabs>
            <w:spacing w:line="480" w:lineRule="auto"/>
            <w:ind w:firstLine="482"/>
            <w:rPr>
              <w:rFonts w:ascii="仿宋" w:hAnsi="仿宋" w:cs="仿宋" w:hint="eastAsia"/>
              <w:color w:val="000000" w:themeColor="text1"/>
              <w:sz w:val="28"/>
              <w:szCs w:val="28"/>
            </w:rPr>
          </w:pPr>
          <w:r>
            <w:rPr>
              <w:rFonts w:ascii="宋体" w:eastAsia="宋体" w:hAnsi="宋体" w:cs="宋体" w:hint="eastAsia"/>
              <w:color w:val="000000" w:themeColor="text1"/>
              <w:sz w:val="24"/>
              <w:szCs w:val="24"/>
              <w:lang w:eastAsia="zh-CN"/>
            </w:rPr>
            <w:fldChar w:fldCharType="begin"/>
          </w:r>
          <w:r>
            <w:rPr>
              <w:rFonts w:ascii="宋体" w:eastAsia="宋体" w:hAnsi="宋体" w:cs="宋体" w:hint="eastAsia"/>
              <w:color w:val="000000" w:themeColor="text1"/>
              <w:sz w:val="24"/>
              <w:szCs w:val="24"/>
              <w:lang w:eastAsia="zh-CN"/>
            </w:rPr>
            <w:instrText xml:space="preserve">TOC \o "1-2" \h \u </w:instrText>
          </w:r>
          <w:r>
            <w:rPr>
              <w:rFonts w:ascii="宋体" w:eastAsia="宋体" w:hAnsi="宋体" w:cs="宋体" w:hint="eastAsia"/>
              <w:color w:val="000000" w:themeColor="text1"/>
              <w:sz w:val="24"/>
              <w:szCs w:val="24"/>
              <w:lang w:eastAsia="zh-CN"/>
            </w:rPr>
            <w:fldChar w:fldCharType="separate"/>
          </w:r>
          <w:hyperlink w:anchor="_Toc24477" w:history="1">
            <w:r>
              <w:rPr>
                <w:rFonts w:ascii="仿宋" w:hAnsi="仿宋" w:cs="仿宋" w:hint="eastAsia"/>
                <w:color w:val="000000" w:themeColor="text1"/>
                <w:sz w:val="28"/>
                <w:szCs w:val="28"/>
                <w:lang w:eastAsia="zh-CN"/>
              </w:rPr>
              <w:t>一、编写律师简介</w:t>
            </w:r>
            <w:r>
              <w:rPr>
                <w:rFonts w:ascii="仿宋" w:hAnsi="仿宋" w:cs="仿宋" w:hint="eastAsia"/>
                <w:color w:val="000000" w:themeColor="text1"/>
                <w:sz w:val="28"/>
                <w:szCs w:val="28"/>
              </w:rPr>
              <w:tab/>
            </w:r>
            <w:r>
              <w:rPr>
                <w:rFonts w:ascii="仿宋" w:hAnsi="仿宋" w:cs="仿宋" w:hint="eastAsia"/>
                <w:color w:val="000000" w:themeColor="text1"/>
                <w:sz w:val="28"/>
                <w:szCs w:val="28"/>
              </w:rPr>
              <w:fldChar w:fldCharType="begin"/>
            </w:r>
            <w:r>
              <w:rPr>
                <w:rFonts w:ascii="仿宋" w:hAnsi="仿宋" w:cs="仿宋" w:hint="eastAsia"/>
                <w:color w:val="000000" w:themeColor="text1"/>
                <w:sz w:val="28"/>
                <w:szCs w:val="28"/>
              </w:rPr>
              <w:instrText xml:space="preserve"> PAGEREF _Toc24477 \h </w:instrText>
            </w:r>
            <w:r>
              <w:rPr>
                <w:rFonts w:ascii="仿宋" w:hAnsi="仿宋" w:cs="仿宋" w:hint="eastAsia"/>
                <w:color w:val="000000" w:themeColor="text1"/>
                <w:sz w:val="28"/>
                <w:szCs w:val="28"/>
              </w:rPr>
            </w:r>
            <w:r>
              <w:rPr>
                <w:rFonts w:ascii="仿宋" w:hAnsi="仿宋" w:cs="仿宋" w:hint="eastAsia"/>
                <w:color w:val="000000" w:themeColor="text1"/>
                <w:sz w:val="28"/>
                <w:szCs w:val="28"/>
              </w:rPr>
              <w:fldChar w:fldCharType="separate"/>
            </w:r>
            <w:r>
              <w:rPr>
                <w:rFonts w:ascii="仿宋" w:hAnsi="仿宋" w:cs="仿宋" w:hint="eastAsia"/>
                <w:color w:val="000000" w:themeColor="text1"/>
                <w:sz w:val="28"/>
                <w:szCs w:val="28"/>
              </w:rPr>
              <w:t>1</w:t>
            </w:r>
            <w:r>
              <w:rPr>
                <w:rFonts w:ascii="仿宋" w:hAnsi="仿宋" w:cs="仿宋" w:hint="eastAsia"/>
                <w:color w:val="000000" w:themeColor="text1"/>
                <w:sz w:val="28"/>
                <w:szCs w:val="28"/>
              </w:rPr>
              <w:fldChar w:fldCharType="end"/>
            </w:r>
          </w:hyperlink>
        </w:p>
        <w:p w14:paraId="2FEFAB81" w14:textId="77777777" w:rsidR="003E4FA5" w:rsidRDefault="00000000">
          <w:pPr>
            <w:pStyle w:val="TOC1"/>
            <w:tabs>
              <w:tab w:val="right" w:leader="middleDot" w:pos="9750"/>
            </w:tabs>
            <w:spacing w:line="480" w:lineRule="auto"/>
            <w:ind w:firstLine="402"/>
            <w:rPr>
              <w:rFonts w:ascii="仿宋" w:hAnsi="仿宋" w:cs="仿宋" w:hint="eastAsia"/>
              <w:color w:val="000000" w:themeColor="text1"/>
              <w:sz w:val="28"/>
              <w:szCs w:val="28"/>
            </w:rPr>
          </w:pPr>
          <w:hyperlink w:anchor="_Toc24349" w:history="1">
            <w:r>
              <w:rPr>
                <w:rFonts w:ascii="仿宋" w:hAnsi="仿宋" w:cs="仿宋" w:hint="eastAsia"/>
                <w:color w:val="000000" w:themeColor="text1"/>
                <w:sz w:val="28"/>
                <w:szCs w:val="28"/>
                <w:lang w:eastAsia="zh-CN"/>
              </w:rPr>
              <w:t>二、 要闻播报</w:t>
            </w:r>
            <w:r>
              <w:rPr>
                <w:rFonts w:ascii="仿宋" w:hAnsi="仿宋" w:cs="仿宋" w:hint="eastAsia"/>
                <w:color w:val="000000" w:themeColor="text1"/>
                <w:sz w:val="28"/>
                <w:szCs w:val="28"/>
              </w:rPr>
              <w:tab/>
            </w:r>
            <w:r>
              <w:rPr>
                <w:rFonts w:ascii="仿宋" w:hAnsi="仿宋" w:cs="仿宋" w:hint="eastAsia"/>
                <w:color w:val="000000" w:themeColor="text1"/>
                <w:sz w:val="28"/>
                <w:szCs w:val="28"/>
              </w:rPr>
              <w:fldChar w:fldCharType="begin"/>
            </w:r>
            <w:r>
              <w:rPr>
                <w:rFonts w:ascii="仿宋" w:hAnsi="仿宋" w:cs="仿宋" w:hint="eastAsia"/>
                <w:color w:val="000000" w:themeColor="text1"/>
                <w:sz w:val="28"/>
                <w:szCs w:val="28"/>
              </w:rPr>
              <w:instrText xml:space="preserve"> PAGEREF _Toc24349 \h </w:instrText>
            </w:r>
            <w:r>
              <w:rPr>
                <w:rFonts w:ascii="仿宋" w:hAnsi="仿宋" w:cs="仿宋" w:hint="eastAsia"/>
                <w:color w:val="000000" w:themeColor="text1"/>
                <w:sz w:val="28"/>
                <w:szCs w:val="28"/>
              </w:rPr>
            </w:r>
            <w:r>
              <w:rPr>
                <w:rFonts w:ascii="仿宋" w:hAnsi="仿宋" w:cs="仿宋" w:hint="eastAsia"/>
                <w:color w:val="000000" w:themeColor="text1"/>
                <w:sz w:val="28"/>
                <w:szCs w:val="28"/>
              </w:rPr>
              <w:fldChar w:fldCharType="separate"/>
            </w:r>
            <w:r>
              <w:rPr>
                <w:rFonts w:ascii="仿宋" w:hAnsi="仿宋" w:cs="仿宋" w:hint="eastAsia"/>
                <w:color w:val="000000" w:themeColor="text1"/>
                <w:sz w:val="28"/>
                <w:szCs w:val="28"/>
              </w:rPr>
              <w:t>2</w:t>
            </w:r>
            <w:r>
              <w:rPr>
                <w:rFonts w:ascii="仿宋" w:hAnsi="仿宋" w:cs="仿宋" w:hint="eastAsia"/>
                <w:color w:val="000000" w:themeColor="text1"/>
                <w:sz w:val="28"/>
                <w:szCs w:val="28"/>
              </w:rPr>
              <w:fldChar w:fldCharType="end"/>
            </w:r>
          </w:hyperlink>
        </w:p>
        <w:p w14:paraId="18933B5A" w14:textId="77777777" w:rsidR="003E4FA5" w:rsidRDefault="00000000">
          <w:pPr>
            <w:pStyle w:val="TOC2"/>
            <w:tabs>
              <w:tab w:val="right" w:leader="middleDot" w:pos="9750"/>
            </w:tabs>
            <w:spacing w:line="480" w:lineRule="auto"/>
            <w:ind w:firstLine="400"/>
            <w:rPr>
              <w:rFonts w:ascii="仿宋" w:hAnsi="仿宋" w:cs="仿宋" w:hint="eastAsia"/>
              <w:color w:val="000000" w:themeColor="text1"/>
              <w:sz w:val="28"/>
              <w:szCs w:val="28"/>
            </w:rPr>
          </w:pPr>
          <w:hyperlink w:anchor="_Toc23705" w:history="1">
            <w:r>
              <w:rPr>
                <w:rFonts w:ascii="仿宋" w:hAnsi="仿宋" w:cs="仿宋" w:hint="eastAsia"/>
                <w:color w:val="000000" w:themeColor="text1"/>
                <w:sz w:val="28"/>
                <w:szCs w:val="28"/>
                <w:lang w:eastAsia="zh-CN"/>
              </w:rPr>
              <w:t>（一）第七届“一带一路”税收征管合作论坛在雅加达闭幕  六项成果赋能税收征管数字化、纳税服务便利化</w:t>
            </w:r>
            <w:r>
              <w:rPr>
                <w:rFonts w:ascii="仿宋" w:hAnsi="仿宋" w:cs="仿宋" w:hint="eastAsia"/>
                <w:color w:val="000000" w:themeColor="text1"/>
                <w:sz w:val="28"/>
                <w:szCs w:val="28"/>
              </w:rPr>
              <w:tab/>
            </w:r>
            <w:r>
              <w:rPr>
                <w:rFonts w:ascii="仿宋" w:hAnsi="仿宋" w:cs="仿宋" w:hint="eastAsia"/>
                <w:color w:val="000000" w:themeColor="text1"/>
                <w:sz w:val="28"/>
                <w:szCs w:val="28"/>
              </w:rPr>
              <w:fldChar w:fldCharType="begin"/>
            </w:r>
            <w:r>
              <w:rPr>
                <w:rFonts w:ascii="仿宋" w:hAnsi="仿宋" w:cs="仿宋" w:hint="eastAsia"/>
                <w:color w:val="000000" w:themeColor="text1"/>
                <w:sz w:val="28"/>
                <w:szCs w:val="28"/>
              </w:rPr>
              <w:instrText xml:space="preserve"> PAGEREF _Toc23705 \h </w:instrText>
            </w:r>
            <w:r>
              <w:rPr>
                <w:rFonts w:ascii="仿宋" w:hAnsi="仿宋" w:cs="仿宋" w:hint="eastAsia"/>
                <w:color w:val="000000" w:themeColor="text1"/>
                <w:sz w:val="28"/>
                <w:szCs w:val="28"/>
              </w:rPr>
            </w:r>
            <w:r>
              <w:rPr>
                <w:rFonts w:ascii="仿宋" w:hAnsi="仿宋" w:cs="仿宋" w:hint="eastAsia"/>
                <w:color w:val="000000" w:themeColor="text1"/>
                <w:sz w:val="28"/>
                <w:szCs w:val="28"/>
              </w:rPr>
              <w:fldChar w:fldCharType="separate"/>
            </w:r>
            <w:r>
              <w:rPr>
                <w:rFonts w:ascii="仿宋" w:hAnsi="仿宋" w:cs="仿宋" w:hint="eastAsia"/>
                <w:color w:val="000000" w:themeColor="text1"/>
                <w:sz w:val="28"/>
                <w:szCs w:val="28"/>
              </w:rPr>
              <w:t>2</w:t>
            </w:r>
            <w:r>
              <w:rPr>
                <w:rFonts w:ascii="仿宋" w:hAnsi="仿宋" w:cs="仿宋" w:hint="eastAsia"/>
                <w:color w:val="000000" w:themeColor="text1"/>
                <w:sz w:val="28"/>
                <w:szCs w:val="28"/>
              </w:rPr>
              <w:fldChar w:fldCharType="end"/>
            </w:r>
          </w:hyperlink>
        </w:p>
        <w:p w14:paraId="63589AC0" w14:textId="77777777" w:rsidR="003E4FA5" w:rsidRDefault="00000000">
          <w:pPr>
            <w:pStyle w:val="TOC2"/>
            <w:tabs>
              <w:tab w:val="right" w:leader="middleDot" w:pos="9750"/>
            </w:tabs>
            <w:spacing w:line="480" w:lineRule="auto"/>
            <w:ind w:firstLine="400"/>
            <w:rPr>
              <w:rFonts w:ascii="仿宋" w:hAnsi="仿宋" w:cs="仿宋" w:hint="eastAsia"/>
              <w:color w:val="000000" w:themeColor="text1"/>
              <w:sz w:val="28"/>
              <w:szCs w:val="28"/>
            </w:rPr>
          </w:pPr>
          <w:hyperlink w:anchor="_Toc6089" w:history="1">
            <w:r>
              <w:rPr>
                <w:rFonts w:ascii="仿宋" w:hAnsi="仿宋" w:cs="仿宋" w:hint="eastAsia"/>
                <w:color w:val="000000" w:themeColor="text1"/>
                <w:sz w:val="28"/>
                <w:szCs w:val="28"/>
                <w:lang w:eastAsia="zh-CN"/>
              </w:rPr>
              <w:t>（二）增值税发票数据显示：国庆假期服务消费和部分商品消费态势良好。</w:t>
            </w:r>
            <w:r>
              <w:rPr>
                <w:rFonts w:ascii="仿宋" w:hAnsi="仿宋" w:cs="仿宋" w:hint="eastAsia"/>
                <w:color w:val="000000" w:themeColor="text1"/>
                <w:sz w:val="28"/>
                <w:szCs w:val="28"/>
              </w:rPr>
              <w:tab/>
            </w:r>
            <w:r>
              <w:rPr>
                <w:rFonts w:ascii="仿宋" w:hAnsi="仿宋" w:cs="仿宋" w:hint="eastAsia"/>
                <w:color w:val="000000" w:themeColor="text1"/>
                <w:sz w:val="28"/>
                <w:szCs w:val="28"/>
                <w:lang w:eastAsia="zh-CN"/>
              </w:rPr>
              <w:t>6</w:t>
            </w:r>
          </w:hyperlink>
        </w:p>
        <w:p w14:paraId="59359449" w14:textId="77777777" w:rsidR="003E4FA5" w:rsidRDefault="00000000">
          <w:pPr>
            <w:pStyle w:val="TOC2"/>
            <w:tabs>
              <w:tab w:val="right" w:leader="middleDot" w:pos="9750"/>
            </w:tabs>
            <w:spacing w:line="480" w:lineRule="auto"/>
            <w:ind w:firstLine="400"/>
            <w:rPr>
              <w:rFonts w:ascii="仿宋" w:hAnsi="仿宋" w:cs="仿宋" w:hint="eastAsia"/>
              <w:color w:val="000000" w:themeColor="text1"/>
              <w:sz w:val="28"/>
              <w:szCs w:val="28"/>
            </w:rPr>
          </w:pPr>
          <w:hyperlink w:anchor="_Toc12236" w:history="1">
            <w:r>
              <w:rPr>
                <w:rFonts w:ascii="仿宋" w:hAnsi="仿宋" w:cs="仿宋" w:hint="eastAsia"/>
                <w:color w:val="000000" w:themeColor="text1"/>
                <w:sz w:val="28"/>
                <w:szCs w:val="28"/>
                <w:lang w:eastAsia="zh-CN"/>
              </w:rPr>
              <w:t>（三）增值税留抵退税新政实施一周年——累计办理留抵退税2818亿元 政策靶向支持效应有效释放</w:t>
            </w:r>
            <w:r>
              <w:rPr>
                <w:rFonts w:ascii="仿宋" w:hAnsi="仿宋" w:cs="仿宋" w:hint="eastAsia"/>
                <w:color w:val="000000" w:themeColor="text1"/>
                <w:sz w:val="28"/>
                <w:szCs w:val="28"/>
              </w:rPr>
              <w:tab/>
            </w:r>
            <w:r>
              <w:rPr>
                <w:rFonts w:ascii="仿宋" w:hAnsi="仿宋" w:cs="仿宋" w:hint="eastAsia"/>
                <w:color w:val="000000" w:themeColor="text1"/>
                <w:sz w:val="28"/>
                <w:szCs w:val="28"/>
                <w:lang w:eastAsia="zh-CN"/>
              </w:rPr>
              <w:t>7</w:t>
            </w:r>
          </w:hyperlink>
        </w:p>
        <w:p w14:paraId="77869ADE" w14:textId="77777777" w:rsidR="003E4FA5" w:rsidRDefault="00000000">
          <w:pPr>
            <w:pStyle w:val="TOC1"/>
            <w:tabs>
              <w:tab w:val="right" w:leader="middleDot" w:pos="9750"/>
            </w:tabs>
            <w:spacing w:line="480" w:lineRule="auto"/>
            <w:ind w:firstLine="402"/>
            <w:rPr>
              <w:rFonts w:ascii="仿宋" w:hAnsi="仿宋" w:cs="仿宋" w:hint="eastAsia"/>
              <w:color w:val="000000" w:themeColor="text1"/>
              <w:sz w:val="28"/>
              <w:szCs w:val="28"/>
              <w:lang w:eastAsia="zh-CN"/>
            </w:rPr>
          </w:pPr>
          <w:hyperlink w:anchor="_Toc29802" w:history="1">
            <w:r>
              <w:rPr>
                <w:rFonts w:ascii="仿宋" w:hAnsi="仿宋" w:cs="仿宋" w:hint="eastAsia"/>
                <w:color w:val="000000" w:themeColor="text1"/>
                <w:sz w:val="28"/>
                <w:szCs w:val="28"/>
                <w:lang w:eastAsia="zh-CN"/>
              </w:rPr>
              <w:t>三、 新法概览</w:t>
            </w:r>
            <w:r>
              <w:rPr>
                <w:rFonts w:ascii="仿宋" w:hAnsi="仿宋" w:cs="仿宋" w:hint="eastAsia"/>
                <w:color w:val="000000" w:themeColor="text1"/>
                <w:sz w:val="28"/>
                <w:szCs w:val="28"/>
              </w:rPr>
              <w:tab/>
            </w:r>
            <w:r>
              <w:rPr>
                <w:rFonts w:ascii="仿宋" w:hAnsi="仿宋" w:cs="仿宋" w:hint="eastAsia"/>
                <w:color w:val="000000" w:themeColor="text1"/>
                <w:sz w:val="28"/>
                <w:szCs w:val="28"/>
                <w:lang w:eastAsia="zh-CN"/>
              </w:rPr>
              <w:t>1</w:t>
            </w:r>
          </w:hyperlink>
          <w:r>
            <w:rPr>
              <w:rFonts w:ascii="仿宋" w:hAnsi="仿宋" w:cs="仿宋" w:hint="eastAsia"/>
              <w:color w:val="000000" w:themeColor="text1"/>
              <w:sz w:val="28"/>
              <w:szCs w:val="28"/>
              <w:lang w:eastAsia="zh-CN"/>
            </w:rPr>
            <w:t>0</w:t>
          </w:r>
        </w:p>
        <w:p w14:paraId="01F03B80" w14:textId="77777777" w:rsidR="003E4FA5" w:rsidRDefault="00000000">
          <w:pPr>
            <w:pStyle w:val="TOC2"/>
            <w:tabs>
              <w:tab w:val="right" w:leader="middleDot" w:pos="9750"/>
            </w:tabs>
            <w:spacing w:line="480" w:lineRule="auto"/>
            <w:ind w:firstLine="400"/>
            <w:rPr>
              <w:rFonts w:ascii="仿宋" w:hAnsi="仿宋" w:cs="仿宋" w:hint="eastAsia"/>
              <w:color w:val="000000" w:themeColor="text1"/>
              <w:sz w:val="28"/>
              <w:szCs w:val="28"/>
              <w:lang w:eastAsia="zh-CN"/>
            </w:rPr>
          </w:pPr>
          <w:hyperlink w:anchor="_Toc25929" w:history="1">
            <w:r>
              <w:rPr>
                <w:rFonts w:ascii="仿宋" w:hAnsi="仿宋" w:cs="仿宋" w:hint="eastAsia"/>
                <w:color w:val="000000" w:themeColor="text1"/>
                <w:sz w:val="28"/>
                <w:szCs w:val="28"/>
                <w:lang w:eastAsia="zh-CN"/>
              </w:rPr>
              <w:t>（一）财政部 税务总局关于调整部分产品出口退税政策的公告　财政部 税务总局公告2026年第29号</w:t>
            </w:r>
            <w:r>
              <w:rPr>
                <w:rFonts w:ascii="仿宋" w:hAnsi="仿宋" w:cs="仿宋" w:hint="eastAsia"/>
                <w:color w:val="000000" w:themeColor="text1"/>
                <w:sz w:val="28"/>
                <w:szCs w:val="28"/>
              </w:rPr>
              <w:tab/>
            </w:r>
            <w:r>
              <w:rPr>
                <w:rFonts w:ascii="仿宋" w:hAnsi="仿宋" w:cs="仿宋" w:hint="eastAsia"/>
                <w:color w:val="000000" w:themeColor="text1"/>
                <w:sz w:val="28"/>
                <w:szCs w:val="28"/>
                <w:lang w:eastAsia="zh-CN"/>
              </w:rPr>
              <w:t>1</w:t>
            </w:r>
          </w:hyperlink>
          <w:r>
            <w:rPr>
              <w:rFonts w:ascii="仿宋" w:hAnsi="仿宋" w:cs="仿宋" w:hint="eastAsia"/>
              <w:color w:val="000000" w:themeColor="text1"/>
              <w:sz w:val="28"/>
              <w:szCs w:val="28"/>
              <w:lang w:eastAsia="zh-CN"/>
            </w:rPr>
            <w:t>0</w:t>
          </w:r>
        </w:p>
        <w:p w14:paraId="782752EC" w14:textId="77777777" w:rsidR="003E4FA5" w:rsidRDefault="00000000">
          <w:pPr>
            <w:pStyle w:val="TOC2"/>
            <w:tabs>
              <w:tab w:val="right" w:leader="middleDot" w:pos="9750"/>
            </w:tabs>
            <w:spacing w:line="480" w:lineRule="auto"/>
            <w:ind w:firstLine="400"/>
            <w:rPr>
              <w:rFonts w:ascii="仿宋" w:hAnsi="仿宋" w:cs="仿宋" w:hint="eastAsia"/>
              <w:color w:val="000000" w:themeColor="text1"/>
              <w:sz w:val="28"/>
              <w:szCs w:val="28"/>
              <w:lang w:eastAsia="zh-CN"/>
            </w:rPr>
          </w:pPr>
          <w:hyperlink w:anchor="_Toc28889" w:history="1">
            <w:r>
              <w:rPr>
                <w:rFonts w:ascii="仿宋" w:hAnsi="仿宋" w:cs="仿宋" w:hint="eastAsia"/>
                <w:color w:val="000000" w:themeColor="text1"/>
                <w:sz w:val="28"/>
                <w:szCs w:val="28"/>
                <w:lang w:eastAsia="zh-CN"/>
              </w:rPr>
              <w:t>（二）国家税务总局关于发布出口退税率文库2026C版的通知　税总货劳函〔2026〕214号</w:t>
            </w:r>
            <w:r>
              <w:rPr>
                <w:rFonts w:ascii="仿宋" w:hAnsi="仿宋" w:cs="仿宋" w:hint="eastAsia"/>
                <w:color w:val="000000" w:themeColor="text1"/>
                <w:sz w:val="28"/>
                <w:szCs w:val="28"/>
              </w:rPr>
              <w:tab/>
            </w:r>
            <w:r>
              <w:rPr>
                <w:rFonts w:ascii="仿宋" w:hAnsi="仿宋" w:cs="仿宋" w:hint="eastAsia"/>
                <w:color w:val="000000" w:themeColor="text1"/>
                <w:sz w:val="28"/>
                <w:szCs w:val="28"/>
                <w:lang w:eastAsia="zh-CN"/>
              </w:rPr>
              <w:t>1</w:t>
            </w:r>
          </w:hyperlink>
          <w:r>
            <w:rPr>
              <w:rFonts w:ascii="仿宋" w:hAnsi="仿宋" w:cs="仿宋" w:hint="eastAsia"/>
              <w:color w:val="000000" w:themeColor="text1"/>
              <w:sz w:val="28"/>
              <w:szCs w:val="28"/>
              <w:lang w:eastAsia="zh-CN"/>
            </w:rPr>
            <w:t>1</w:t>
          </w:r>
        </w:p>
        <w:p w14:paraId="17A51523" w14:textId="77777777" w:rsidR="003E4FA5" w:rsidRDefault="00000000">
          <w:pPr>
            <w:pStyle w:val="TOC2"/>
            <w:tabs>
              <w:tab w:val="right" w:leader="middleDot" w:pos="9750"/>
            </w:tabs>
            <w:spacing w:line="480" w:lineRule="auto"/>
            <w:ind w:firstLine="400"/>
            <w:rPr>
              <w:rFonts w:ascii="仿宋" w:hAnsi="仿宋" w:cs="仿宋" w:hint="eastAsia"/>
              <w:color w:val="000000" w:themeColor="text1"/>
              <w:sz w:val="28"/>
              <w:szCs w:val="28"/>
              <w:lang w:eastAsia="zh-CN"/>
            </w:rPr>
          </w:pPr>
          <w:hyperlink w:anchor="_Toc30922" w:history="1">
            <w:r>
              <w:rPr>
                <w:rFonts w:ascii="仿宋" w:hAnsi="仿宋" w:cs="仿宋" w:hint="eastAsia"/>
                <w:color w:val="000000" w:themeColor="text1"/>
                <w:sz w:val="28"/>
                <w:szCs w:val="28"/>
                <w:lang w:eastAsia="zh-CN"/>
              </w:rPr>
              <w:t>（三）工业和信息化部 国家发展改革委 财政部 税务总局关于开展2026年度享受增值税加计抵减政策的集成电路企业清单制定工作的通知 工信部联电子函〔2026〕326号</w:t>
            </w:r>
            <w:r>
              <w:rPr>
                <w:rFonts w:ascii="仿宋" w:hAnsi="仿宋" w:cs="仿宋" w:hint="eastAsia"/>
                <w:color w:val="000000" w:themeColor="text1"/>
                <w:sz w:val="28"/>
                <w:szCs w:val="28"/>
              </w:rPr>
              <w:tab/>
            </w:r>
            <w:r>
              <w:rPr>
                <w:rFonts w:ascii="仿宋" w:hAnsi="仿宋" w:cs="仿宋" w:hint="eastAsia"/>
                <w:color w:val="000000" w:themeColor="text1"/>
                <w:sz w:val="28"/>
                <w:szCs w:val="28"/>
                <w:lang w:eastAsia="zh-CN"/>
              </w:rPr>
              <w:t>1</w:t>
            </w:r>
          </w:hyperlink>
          <w:r>
            <w:rPr>
              <w:rFonts w:ascii="仿宋" w:hAnsi="仿宋" w:cs="仿宋" w:hint="eastAsia"/>
              <w:color w:val="000000" w:themeColor="text1"/>
              <w:sz w:val="28"/>
              <w:szCs w:val="28"/>
              <w:lang w:eastAsia="zh-CN"/>
            </w:rPr>
            <w:t>1</w:t>
          </w:r>
        </w:p>
        <w:p w14:paraId="33288B66" w14:textId="77777777" w:rsidR="003E4FA5" w:rsidRDefault="00000000">
          <w:pPr>
            <w:pStyle w:val="TOC2"/>
            <w:tabs>
              <w:tab w:val="right" w:leader="middleDot" w:pos="9750"/>
            </w:tabs>
            <w:spacing w:line="480" w:lineRule="auto"/>
            <w:ind w:firstLine="400"/>
            <w:rPr>
              <w:rFonts w:ascii="仿宋" w:hAnsi="仿宋" w:cs="仿宋" w:hint="eastAsia"/>
              <w:color w:val="000000" w:themeColor="text1"/>
              <w:sz w:val="28"/>
              <w:szCs w:val="28"/>
            </w:rPr>
          </w:pPr>
          <w:hyperlink w:anchor="_Toc20867" w:history="1">
            <w:r>
              <w:rPr>
                <w:rFonts w:ascii="仿宋" w:hAnsi="仿宋" w:cs="仿宋" w:hint="eastAsia"/>
                <w:color w:val="000000" w:themeColor="text1"/>
                <w:sz w:val="28"/>
                <w:szCs w:val="28"/>
                <w:lang w:eastAsia="zh-CN"/>
              </w:rPr>
              <w:t>（四）国家税务总局关于发布《全国税务行政处罚裁量基准（2026年版）》的公告  国家税务总局公告2026年第20号</w:t>
            </w:r>
            <w:r>
              <w:rPr>
                <w:rFonts w:ascii="仿宋" w:hAnsi="仿宋" w:cs="仿宋" w:hint="eastAsia"/>
                <w:color w:val="000000" w:themeColor="text1"/>
                <w:sz w:val="28"/>
                <w:szCs w:val="28"/>
              </w:rPr>
              <w:tab/>
            </w:r>
            <w:r>
              <w:rPr>
                <w:rFonts w:ascii="仿宋" w:hAnsi="仿宋" w:cs="仿宋" w:hint="eastAsia"/>
                <w:color w:val="000000" w:themeColor="text1"/>
                <w:sz w:val="28"/>
                <w:szCs w:val="28"/>
              </w:rPr>
              <w:fldChar w:fldCharType="begin"/>
            </w:r>
            <w:r>
              <w:rPr>
                <w:rFonts w:ascii="仿宋" w:hAnsi="仿宋" w:cs="仿宋" w:hint="eastAsia"/>
                <w:color w:val="000000" w:themeColor="text1"/>
                <w:sz w:val="28"/>
                <w:szCs w:val="28"/>
              </w:rPr>
              <w:instrText xml:space="preserve"> PAGEREF _Toc20867 \h </w:instrText>
            </w:r>
            <w:r>
              <w:rPr>
                <w:rFonts w:ascii="仿宋" w:hAnsi="仿宋" w:cs="仿宋" w:hint="eastAsia"/>
                <w:color w:val="000000" w:themeColor="text1"/>
                <w:sz w:val="28"/>
                <w:szCs w:val="28"/>
              </w:rPr>
            </w:r>
            <w:r>
              <w:rPr>
                <w:rFonts w:ascii="仿宋" w:hAnsi="仿宋" w:cs="仿宋" w:hint="eastAsia"/>
                <w:color w:val="000000" w:themeColor="text1"/>
                <w:sz w:val="28"/>
                <w:szCs w:val="28"/>
              </w:rPr>
              <w:fldChar w:fldCharType="separate"/>
            </w:r>
            <w:r>
              <w:rPr>
                <w:rFonts w:ascii="仿宋" w:hAnsi="仿宋" w:cs="仿宋" w:hint="eastAsia"/>
                <w:color w:val="000000" w:themeColor="text1"/>
                <w:sz w:val="28"/>
                <w:szCs w:val="28"/>
              </w:rPr>
              <w:t>1</w:t>
            </w:r>
            <w:r>
              <w:rPr>
                <w:rFonts w:ascii="仿宋" w:hAnsi="仿宋" w:cs="仿宋" w:hint="eastAsia"/>
                <w:color w:val="000000" w:themeColor="text1"/>
                <w:sz w:val="28"/>
                <w:szCs w:val="28"/>
                <w:lang w:eastAsia="zh-CN"/>
              </w:rPr>
              <w:t>4</w:t>
            </w:r>
            <w:r>
              <w:rPr>
                <w:rFonts w:ascii="仿宋" w:hAnsi="仿宋" w:cs="仿宋" w:hint="eastAsia"/>
                <w:color w:val="000000" w:themeColor="text1"/>
                <w:sz w:val="28"/>
                <w:szCs w:val="28"/>
              </w:rPr>
              <w:fldChar w:fldCharType="end"/>
            </w:r>
          </w:hyperlink>
        </w:p>
        <w:p w14:paraId="35789DEC" w14:textId="77777777" w:rsidR="003E4FA5" w:rsidRDefault="00000000">
          <w:pPr>
            <w:pStyle w:val="TOC1"/>
            <w:tabs>
              <w:tab w:val="right" w:leader="middleDot" w:pos="9750"/>
            </w:tabs>
            <w:spacing w:line="480" w:lineRule="auto"/>
            <w:ind w:firstLine="402"/>
            <w:rPr>
              <w:rFonts w:ascii="仿宋" w:hAnsi="仿宋" w:cs="仿宋" w:hint="eastAsia"/>
              <w:color w:val="000000" w:themeColor="text1"/>
              <w:sz w:val="28"/>
              <w:szCs w:val="28"/>
            </w:rPr>
          </w:pPr>
          <w:hyperlink w:anchor="_Toc18572" w:history="1">
            <w:r>
              <w:rPr>
                <w:rFonts w:ascii="仿宋" w:hAnsi="仿宋" w:cs="仿宋" w:hint="eastAsia"/>
                <w:color w:val="000000" w:themeColor="text1"/>
                <w:sz w:val="28"/>
                <w:szCs w:val="28"/>
                <w:lang w:eastAsia="zh-CN"/>
              </w:rPr>
              <w:t>四、典型税案</w:t>
            </w:r>
            <w:r>
              <w:rPr>
                <w:rFonts w:ascii="仿宋" w:hAnsi="仿宋" w:cs="仿宋" w:hint="eastAsia"/>
                <w:color w:val="000000" w:themeColor="text1"/>
                <w:sz w:val="28"/>
                <w:szCs w:val="28"/>
              </w:rPr>
              <w:tab/>
            </w:r>
            <w:r>
              <w:rPr>
                <w:rFonts w:ascii="仿宋" w:hAnsi="仿宋" w:cs="仿宋" w:hint="eastAsia"/>
                <w:color w:val="000000" w:themeColor="text1"/>
                <w:sz w:val="28"/>
                <w:szCs w:val="28"/>
              </w:rPr>
              <w:fldChar w:fldCharType="begin"/>
            </w:r>
            <w:r>
              <w:rPr>
                <w:rFonts w:ascii="仿宋" w:hAnsi="仿宋" w:cs="仿宋" w:hint="eastAsia"/>
                <w:color w:val="000000" w:themeColor="text1"/>
                <w:sz w:val="28"/>
                <w:szCs w:val="28"/>
              </w:rPr>
              <w:instrText xml:space="preserve"> PAGEREF _Toc18572 \h </w:instrText>
            </w:r>
            <w:r>
              <w:rPr>
                <w:rFonts w:ascii="仿宋" w:hAnsi="仿宋" w:cs="仿宋" w:hint="eastAsia"/>
                <w:color w:val="000000" w:themeColor="text1"/>
                <w:sz w:val="28"/>
                <w:szCs w:val="28"/>
              </w:rPr>
            </w:r>
            <w:r>
              <w:rPr>
                <w:rFonts w:ascii="仿宋" w:hAnsi="仿宋" w:cs="仿宋" w:hint="eastAsia"/>
                <w:color w:val="000000" w:themeColor="text1"/>
                <w:sz w:val="28"/>
                <w:szCs w:val="28"/>
              </w:rPr>
              <w:fldChar w:fldCharType="separate"/>
            </w:r>
            <w:r>
              <w:rPr>
                <w:rFonts w:ascii="仿宋" w:hAnsi="仿宋" w:cs="仿宋" w:hint="eastAsia"/>
                <w:color w:val="000000" w:themeColor="text1"/>
                <w:sz w:val="28"/>
                <w:szCs w:val="28"/>
              </w:rPr>
              <w:t>1</w:t>
            </w:r>
            <w:r>
              <w:rPr>
                <w:rFonts w:ascii="仿宋" w:hAnsi="仿宋" w:cs="仿宋" w:hint="eastAsia"/>
                <w:color w:val="000000" w:themeColor="text1"/>
                <w:sz w:val="28"/>
                <w:szCs w:val="28"/>
                <w:lang w:eastAsia="zh-CN"/>
              </w:rPr>
              <w:t>5</w:t>
            </w:r>
            <w:r>
              <w:rPr>
                <w:rFonts w:ascii="仿宋" w:hAnsi="仿宋" w:cs="仿宋" w:hint="eastAsia"/>
                <w:color w:val="000000" w:themeColor="text1"/>
                <w:sz w:val="28"/>
                <w:szCs w:val="28"/>
              </w:rPr>
              <w:fldChar w:fldCharType="end"/>
            </w:r>
          </w:hyperlink>
        </w:p>
        <w:p w14:paraId="6F4F46B7" w14:textId="77777777" w:rsidR="003E4FA5" w:rsidRDefault="00000000">
          <w:pPr>
            <w:pStyle w:val="TOC2"/>
            <w:tabs>
              <w:tab w:val="right" w:leader="middleDot" w:pos="9750"/>
            </w:tabs>
            <w:spacing w:line="480" w:lineRule="auto"/>
            <w:ind w:firstLine="400"/>
            <w:rPr>
              <w:rFonts w:ascii="仿宋" w:hAnsi="仿宋" w:cs="仿宋" w:hint="eastAsia"/>
              <w:color w:val="000000" w:themeColor="text1"/>
              <w:sz w:val="28"/>
              <w:szCs w:val="28"/>
            </w:rPr>
          </w:pPr>
          <w:hyperlink w:anchor="_Toc10724" w:history="1">
            <w:r>
              <w:rPr>
                <w:rFonts w:ascii="仿宋" w:hAnsi="仿宋" w:cs="仿宋" w:hint="eastAsia"/>
                <w:color w:val="000000" w:themeColor="text1"/>
                <w:sz w:val="28"/>
                <w:szCs w:val="28"/>
                <w:lang w:eastAsia="zh-CN"/>
              </w:rPr>
              <w:t>（一）税务部门曝光5起涉税中介违规帮助他人偷逃税案件</w:t>
            </w:r>
            <w:r>
              <w:rPr>
                <w:rFonts w:ascii="仿宋" w:hAnsi="仿宋" w:cs="仿宋" w:hint="eastAsia"/>
                <w:color w:val="000000" w:themeColor="text1"/>
                <w:sz w:val="28"/>
                <w:szCs w:val="28"/>
              </w:rPr>
              <w:tab/>
            </w:r>
            <w:r>
              <w:rPr>
                <w:rFonts w:ascii="仿宋" w:hAnsi="仿宋" w:cs="仿宋" w:hint="eastAsia"/>
                <w:color w:val="000000" w:themeColor="text1"/>
                <w:sz w:val="28"/>
                <w:szCs w:val="28"/>
              </w:rPr>
              <w:fldChar w:fldCharType="begin"/>
            </w:r>
            <w:r>
              <w:rPr>
                <w:rFonts w:ascii="仿宋" w:hAnsi="仿宋" w:cs="仿宋" w:hint="eastAsia"/>
                <w:color w:val="000000" w:themeColor="text1"/>
                <w:sz w:val="28"/>
                <w:szCs w:val="28"/>
              </w:rPr>
              <w:instrText xml:space="preserve"> PAGEREF _Toc10724 \h </w:instrText>
            </w:r>
            <w:r>
              <w:rPr>
                <w:rFonts w:ascii="仿宋" w:hAnsi="仿宋" w:cs="仿宋" w:hint="eastAsia"/>
                <w:color w:val="000000" w:themeColor="text1"/>
                <w:sz w:val="28"/>
                <w:szCs w:val="28"/>
              </w:rPr>
            </w:r>
            <w:r>
              <w:rPr>
                <w:rFonts w:ascii="仿宋" w:hAnsi="仿宋" w:cs="仿宋" w:hint="eastAsia"/>
                <w:color w:val="000000" w:themeColor="text1"/>
                <w:sz w:val="28"/>
                <w:szCs w:val="28"/>
              </w:rPr>
              <w:fldChar w:fldCharType="separate"/>
            </w:r>
            <w:r>
              <w:rPr>
                <w:rFonts w:ascii="仿宋" w:hAnsi="仿宋" w:cs="仿宋" w:hint="eastAsia"/>
                <w:color w:val="000000" w:themeColor="text1"/>
                <w:sz w:val="28"/>
                <w:szCs w:val="28"/>
              </w:rPr>
              <w:t>1</w:t>
            </w:r>
            <w:r>
              <w:rPr>
                <w:rFonts w:ascii="仿宋" w:hAnsi="仿宋" w:cs="仿宋" w:hint="eastAsia"/>
                <w:color w:val="000000" w:themeColor="text1"/>
                <w:sz w:val="28"/>
                <w:szCs w:val="28"/>
                <w:lang w:eastAsia="zh-CN"/>
              </w:rPr>
              <w:t>5</w:t>
            </w:r>
            <w:r>
              <w:rPr>
                <w:rFonts w:ascii="仿宋" w:hAnsi="仿宋" w:cs="仿宋" w:hint="eastAsia"/>
                <w:color w:val="000000" w:themeColor="text1"/>
                <w:sz w:val="28"/>
                <w:szCs w:val="28"/>
              </w:rPr>
              <w:fldChar w:fldCharType="end"/>
            </w:r>
          </w:hyperlink>
        </w:p>
        <w:p w14:paraId="4F58CE78" w14:textId="77777777" w:rsidR="003E4FA5" w:rsidRDefault="00000000">
          <w:pPr>
            <w:pStyle w:val="TOC2"/>
            <w:tabs>
              <w:tab w:val="right" w:leader="middleDot" w:pos="9750"/>
            </w:tabs>
            <w:spacing w:line="480" w:lineRule="auto"/>
            <w:ind w:firstLine="400"/>
            <w:rPr>
              <w:rFonts w:ascii="仿宋" w:hAnsi="仿宋" w:cs="仿宋" w:hint="eastAsia"/>
              <w:color w:val="000000" w:themeColor="text1"/>
              <w:sz w:val="28"/>
              <w:szCs w:val="28"/>
            </w:rPr>
          </w:pPr>
          <w:hyperlink w:anchor="_Toc28643" w:history="1">
            <w:r>
              <w:rPr>
                <w:rFonts w:ascii="仿宋" w:hAnsi="仿宋" w:cs="仿宋" w:hint="eastAsia"/>
                <w:color w:val="000000" w:themeColor="text1"/>
                <w:sz w:val="28"/>
                <w:szCs w:val="28"/>
                <w:lang w:eastAsia="zh-CN"/>
              </w:rPr>
              <w:t>（二）藏在大额转账资金下的“筹划”真相——揭秘涉税中介莱州百通财务管理有限公司偷税及违规帮助企业拆分收入导致少缴税款案件</w:t>
            </w:r>
            <w:r>
              <w:rPr>
                <w:rFonts w:ascii="仿宋" w:hAnsi="仿宋" w:cs="仿宋" w:hint="eastAsia"/>
                <w:color w:val="000000" w:themeColor="text1"/>
                <w:sz w:val="28"/>
                <w:szCs w:val="28"/>
              </w:rPr>
              <w:tab/>
            </w:r>
            <w:r>
              <w:rPr>
                <w:rFonts w:ascii="仿宋" w:hAnsi="仿宋" w:cs="仿宋" w:hint="eastAsia"/>
                <w:color w:val="000000" w:themeColor="text1"/>
                <w:sz w:val="28"/>
                <w:szCs w:val="28"/>
              </w:rPr>
              <w:fldChar w:fldCharType="begin"/>
            </w:r>
            <w:r>
              <w:rPr>
                <w:rFonts w:ascii="仿宋" w:hAnsi="仿宋" w:cs="仿宋" w:hint="eastAsia"/>
                <w:color w:val="000000" w:themeColor="text1"/>
                <w:sz w:val="28"/>
                <w:szCs w:val="28"/>
              </w:rPr>
              <w:instrText xml:space="preserve"> PAGEREF _Toc28643 \h </w:instrText>
            </w:r>
            <w:r>
              <w:rPr>
                <w:rFonts w:ascii="仿宋" w:hAnsi="仿宋" w:cs="仿宋" w:hint="eastAsia"/>
                <w:color w:val="000000" w:themeColor="text1"/>
                <w:sz w:val="28"/>
                <w:szCs w:val="28"/>
              </w:rPr>
            </w:r>
            <w:r>
              <w:rPr>
                <w:rFonts w:ascii="仿宋" w:hAnsi="仿宋" w:cs="仿宋" w:hint="eastAsia"/>
                <w:color w:val="000000" w:themeColor="text1"/>
                <w:sz w:val="28"/>
                <w:szCs w:val="28"/>
              </w:rPr>
              <w:fldChar w:fldCharType="separate"/>
            </w:r>
            <w:r>
              <w:rPr>
                <w:rFonts w:ascii="仿宋" w:hAnsi="仿宋" w:cs="仿宋" w:hint="eastAsia"/>
                <w:color w:val="000000" w:themeColor="text1"/>
                <w:sz w:val="28"/>
                <w:szCs w:val="28"/>
              </w:rPr>
              <w:t>1</w:t>
            </w:r>
            <w:r>
              <w:rPr>
                <w:rFonts w:ascii="仿宋" w:hAnsi="仿宋" w:cs="仿宋" w:hint="eastAsia"/>
                <w:color w:val="000000" w:themeColor="text1"/>
                <w:sz w:val="28"/>
                <w:szCs w:val="28"/>
                <w:lang w:eastAsia="zh-CN"/>
              </w:rPr>
              <w:t>9</w:t>
            </w:r>
            <w:r>
              <w:rPr>
                <w:rFonts w:ascii="仿宋" w:hAnsi="仿宋" w:cs="仿宋" w:hint="eastAsia"/>
                <w:color w:val="000000" w:themeColor="text1"/>
                <w:sz w:val="28"/>
                <w:szCs w:val="28"/>
              </w:rPr>
              <w:fldChar w:fldCharType="end"/>
            </w:r>
          </w:hyperlink>
        </w:p>
        <w:p w14:paraId="1CF5B254" w14:textId="77777777" w:rsidR="003E4FA5" w:rsidRDefault="00000000">
          <w:pPr>
            <w:pStyle w:val="TOC1"/>
            <w:tabs>
              <w:tab w:val="right" w:leader="middleDot" w:pos="9750"/>
            </w:tabs>
            <w:spacing w:line="480" w:lineRule="auto"/>
            <w:ind w:firstLine="402"/>
            <w:rPr>
              <w:rFonts w:ascii="仿宋" w:hAnsi="仿宋" w:cs="仿宋" w:hint="eastAsia"/>
              <w:color w:val="000000" w:themeColor="text1"/>
              <w:sz w:val="28"/>
              <w:szCs w:val="28"/>
              <w:lang w:eastAsia="zh-CN"/>
            </w:rPr>
          </w:pPr>
          <w:hyperlink w:anchor="_Toc25989" w:history="1">
            <w:r>
              <w:rPr>
                <w:rFonts w:ascii="仿宋" w:hAnsi="仿宋" w:cs="仿宋" w:hint="eastAsia"/>
                <w:color w:val="000000" w:themeColor="text1"/>
                <w:sz w:val="28"/>
                <w:szCs w:val="28"/>
                <w:lang w:eastAsia="zh-CN"/>
              </w:rPr>
              <w:t>五、税务合规探索</w:t>
            </w:r>
            <w:r>
              <w:rPr>
                <w:rFonts w:ascii="仿宋" w:hAnsi="仿宋" w:cs="仿宋" w:hint="eastAsia"/>
                <w:color w:val="000000" w:themeColor="text1"/>
                <w:sz w:val="28"/>
                <w:szCs w:val="28"/>
              </w:rPr>
              <w:tab/>
            </w:r>
            <w:r>
              <w:rPr>
                <w:rFonts w:ascii="仿宋" w:hAnsi="仿宋" w:cs="仿宋" w:hint="eastAsia"/>
                <w:color w:val="000000" w:themeColor="text1"/>
                <w:sz w:val="28"/>
                <w:szCs w:val="28"/>
                <w:lang w:eastAsia="zh-CN"/>
              </w:rPr>
              <w:t>2</w:t>
            </w:r>
          </w:hyperlink>
          <w:r>
            <w:rPr>
              <w:rFonts w:ascii="仿宋" w:hAnsi="仿宋" w:cs="仿宋" w:hint="eastAsia"/>
              <w:color w:val="000000" w:themeColor="text1"/>
              <w:sz w:val="28"/>
              <w:szCs w:val="28"/>
              <w:lang w:eastAsia="zh-CN"/>
            </w:rPr>
            <w:t>2</w:t>
          </w:r>
        </w:p>
        <w:p w14:paraId="18C7071A" w14:textId="77777777" w:rsidR="003E4FA5" w:rsidRDefault="00000000">
          <w:pPr>
            <w:pStyle w:val="TOC2"/>
            <w:tabs>
              <w:tab w:val="right" w:leader="middleDot" w:pos="9750"/>
            </w:tabs>
            <w:spacing w:line="480" w:lineRule="auto"/>
            <w:ind w:firstLine="400"/>
            <w:rPr>
              <w:rFonts w:ascii="仿宋" w:hAnsi="仿宋" w:cs="仿宋" w:hint="eastAsia"/>
              <w:color w:val="000000" w:themeColor="text1"/>
              <w:sz w:val="28"/>
              <w:szCs w:val="28"/>
              <w:lang w:eastAsia="zh-CN"/>
            </w:rPr>
          </w:pPr>
          <w:hyperlink w:anchor="_Toc23730" w:history="1">
            <w:r>
              <w:rPr>
                <w:rFonts w:ascii="仿宋" w:hAnsi="仿宋" w:cs="仿宋" w:hint="eastAsia"/>
                <w:color w:val="000000" w:themeColor="text1"/>
                <w:sz w:val="28"/>
                <w:szCs w:val="28"/>
                <w:lang w:eastAsia="zh-CN"/>
              </w:rPr>
              <w:t>（一）江西省税务、科技部门联合发布合规享受研发费用加计扣除优惠政策典型案例</w:t>
            </w:r>
            <w:r>
              <w:rPr>
                <w:rFonts w:ascii="仿宋" w:hAnsi="仿宋" w:cs="仿宋" w:hint="eastAsia"/>
                <w:color w:val="000000" w:themeColor="text1"/>
                <w:sz w:val="28"/>
                <w:szCs w:val="28"/>
              </w:rPr>
              <w:tab/>
            </w:r>
            <w:r>
              <w:rPr>
                <w:rFonts w:ascii="仿宋" w:hAnsi="仿宋" w:cs="仿宋" w:hint="eastAsia"/>
                <w:color w:val="000000" w:themeColor="text1"/>
                <w:sz w:val="28"/>
                <w:szCs w:val="28"/>
                <w:lang w:eastAsia="zh-CN"/>
              </w:rPr>
              <w:t>2</w:t>
            </w:r>
          </w:hyperlink>
          <w:r>
            <w:rPr>
              <w:rFonts w:ascii="仿宋" w:hAnsi="仿宋" w:cs="仿宋" w:hint="eastAsia"/>
              <w:color w:val="000000" w:themeColor="text1"/>
              <w:sz w:val="28"/>
              <w:szCs w:val="28"/>
              <w:lang w:eastAsia="zh-CN"/>
            </w:rPr>
            <w:t>2</w:t>
          </w:r>
        </w:p>
        <w:p w14:paraId="266827F8" w14:textId="77777777" w:rsidR="003E4FA5" w:rsidRDefault="00000000">
          <w:pPr>
            <w:pStyle w:val="TOC2"/>
            <w:tabs>
              <w:tab w:val="right" w:leader="middleDot" w:pos="9750"/>
            </w:tabs>
            <w:spacing w:line="480" w:lineRule="auto"/>
            <w:ind w:firstLine="400"/>
            <w:rPr>
              <w:rFonts w:ascii="仿宋" w:hAnsi="仿宋" w:cs="仿宋" w:hint="eastAsia"/>
              <w:color w:val="000000" w:themeColor="text1"/>
              <w:sz w:val="28"/>
              <w:szCs w:val="28"/>
              <w:lang w:eastAsia="zh-CN"/>
            </w:rPr>
          </w:pPr>
          <w:hyperlink w:anchor="_Toc8737" w:history="1">
            <w:r>
              <w:rPr>
                <w:rFonts w:ascii="仿宋" w:hAnsi="仿宋" w:cs="仿宋" w:hint="eastAsia"/>
                <w:color w:val="000000" w:themeColor="text1"/>
                <w:sz w:val="28"/>
                <w:szCs w:val="28"/>
                <w:lang w:eastAsia="zh-CN"/>
              </w:rPr>
              <w:t>（二）如何合规享受研发费用加计扣除优惠政策？专家详解四要点</w:t>
            </w:r>
            <w:r>
              <w:rPr>
                <w:rFonts w:ascii="仿宋" w:hAnsi="仿宋" w:cs="仿宋" w:hint="eastAsia"/>
                <w:color w:val="000000" w:themeColor="text1"/>
                <w:sz w:val="28"/>
                <w:szCs w:val="28"/>
              </w:rPr>
              <w:tab/>
            </w:r>
            <w:r>
              <w:rPr>
                <w:rFonts w:ascii="仿宋" w:hAnsi="仿宋" w:cs="仿宋" w:hint="eastAsia"/>
                <w:color w:val="000000" w:themeColor="text1"/>
                <w:sz w:val="28"/>
                <w:szCs w:val="28"/>
                <w:lang w:eastAsia="zh-CN"/>
              </w:rPr>
              <w:t>2</w:t>
            </w:r>
          </w:hyperlink>
          <w:r>
            <w:rPr>
              <w:rFonts w:ascii="仿宋" w:hAnsi="仿宋" w:cs="仿宋" w:hint="eastAsia"/>
              <w:color w:val="000000" w:themeColor="text1"/>
              <w:sz w:val="28"/>
              <w:szCs w:val="28"/>
              <w:lang w:eastAsia="zh-CN"/>
            </w:rPr>
            <w:t>7</w:t>
          </w:r>
        </w:p>
        <w:p w14:paraId="04D21F6D" w14:textId="77777777" w:rsidR="003E4FA5" w:rsidRDefault="00000000">
          <w:pPr>
            <w:pStyle w:val="1"/>
            <w:spacing w:line="480" w:lineRule="auto"/>
            <w:ind w:firstLine="640"/>
            <w:rPr>
              <w:rFonts w:ascii="宋体" w:eastAsia="宋体" w:hAnsi="宋体" w:cs="宋体" w:hint="eastAsia"/>
              <w:color w:val="000000" w:themeColor="text1"/>
              <w:sz w:val="24"/>
              <w:szCs w:val="24"/>
            </w:rPr>
          </w:pPr>
          <w:r>
            <w:rPr>
              <w:rFonts w:ascii="宋体" w:eastAsia="宋体" w:hAnsi="宋体" w:cs="宋体" w:hint="eastAsia"/>
              <w:color w:val="000000" w:themeColor="text1"/>
              <w:szCs w:val="24"/>
            </w:rPr>
            <w:fldChar w:fldCharType="end"/>
          </w:r>
        </w:p>
      </w:sdtContent>
    </w:sdt>
    <w:p w14:paraId="0C0C5345" w14:textId="77777777" w:rsidR="003E4FA5" w:rsidRDefault="003E4FA5">
      <w:pPr>
        <w:spacing w:line="480" w:lineRule="auto"/>
        <w:ind w:firstLine="480"/>
        <w:rPr>
          <w:rFonts w:ascii="宋体" w:eastAsia="宋体" w:hAnsi="宋体" w:cs="宋体" w:hint="eastAsia"/>
          <w:color w:val="000000" w:themeColor="text1"/>
          <w:sz w:val="24"/>
          <w:szCs w:val="24"/>
          <w:lang w:eastAsia="zh-CN"/>
        </w:rPr>
        <w:sectPr w:rsidR="003E4FA5">
          <w:headerReference w:type="default" r:id="rId14"/>
          <w:footerReference w:type="default" r:id="rId15"/>
          <w:pgSz w:w="11910" w:h="16840"/>
          <w:pgMar w:top="1440" w:right="1080" w:bottom="1440" w:left="1080" w:header="947" w:footer="970" w:gutter="0"/>
          <w:pgNumType w:start="1"/>
          <w:cols w:space="720"/>
        </w:sectPr>
      </w:pPr>
    </w:p>
    <w:p w14:paraId="4FE33A29" w14:textId="77777777" w:rsidR="003E4FA5" w:rsidRDefault="00000000">
      <w:pPr>
        <w:pStyle w:val="1"/>
        <w:numPr>
          <w:ilvl w:val="0"/>
          <w:numId w:val="1"/>
        </w:numPr>
        <w:ind w:firstLine="640"/>
        <w:rPr>
          <w:rFonts w:hint="eastAsia"/>
          <w:color w:val="000000" w:themeColor="text1"/>
        </w:rPr>
      </w:pPr>
      <w:bookmarkStart w:id="5" w:name="_Toc24477"/>
      <w:r>
        <w:rPr>
          <w:rFonts w:hint="eastAsia"/>
          <w:color w:val="000000" w:themeColor="text1"/>
        </w:rPr>
        <w:lastRenderedPageBreak/>
        <w:t>编写律师简介</w:t>
      </w:r>
      <w:bookmarkEnd w:id="4"/>
      <w:bookmarkEnd w:id="3"/>
      <w:bookmarkEnd w:id="2"/>
      <w:bookmarkEnd w:id="5"/>
    </w:p>
    <w:p w14:paraId="5B3B044B" w14:textId="77777777" w:rsidR="003E4FA5" w:rsidRDefault="003E4FA5">
      <w:pPr>
        <w:pStyle w:val="a6"/>
        <w:spacing w:before="210" w:beforeAutospacing="0" w:after="210" w:afterAutospacing="0" w:line="473" w:lineRule="atLeast"/>
        <w:ind w:firstLine="400"/>
        <w:jc w:val="center"/>
        <w:rPr>
          <w:rFonts w:ascii="微软雅黑" w:eastAsia="微软雅黑" w:hAnsi="微软雅黑" w:cs="微软雅黑" w:hint="eastAsia"/>
          <w:color w:val="000000" w:themeColor="text1"/>
          <w:sz w:val="20"/>
          <w:szCs w:val="20"/>
        </w:rPr>
      </w:pPr>
    </w:p>
    <w:p w14:paraId="0220A371" w14:textId="77777777" w:rsidR="003E4FA5" w:rsidRDefault="00000000">
      <w:pPr>
        <w:pStyle w:val="a6"/>
        <w:spacing w:before="210" w:beforeAutospacing="0" w:after="210" w:afterAutospacing="0" w:line="473" w:lineRule="atLeast"/>
        <w:ind w:firstLine="420"/>
        <w:jc w:val="center"/>
        <w:rPr>
          <w:color w:val="000000" w:themeColor="text1"/>
        </w:rPr>
      </w:pPr>
      <w:r>
        <w:rPr>
          <w:rFonts w:ascii="Arial" w:eastAsia="宋体" w:hAnsi="Arial" w:cs="Arial" w:hint="eastAsia"/>
          <w:noProof/>
          <w:snapToGrid w:val="0"/>
          <w:color w:val="000000" w:themeColor="text1"/>
          <w:sz w:val="21"/>
          <w:szCs w:val="21"/>
        </w:rPr>
        <w:drawing>
          <wp:inline distT="0" distB="0" distL="114300" distR="114300" wp14:anchorId="255F4583" wp14:editId="52FA7D71">
            <wp:extent cx="1329690" cy="1889125"/>
            <wp:effectExtent l="0" t="0" r="3810" b="15875"/>
            <wp:docPr id="7" name="图片 1" descr="E:/周兴照片/周兴律师证照片.jpg周兴律师证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E:/周兴照片/周兴律师证照片.jpg周兴律师证照片"/>
                    <pic:cNvPicPr>
                      <a:picLocks noChangeAspect="1"/>
                    </pic:cNvPicPr>
                  </pic:nvPicPr>
                  <pic:blipFill>
                    <a:blip r:embed="rId16"/>
                    <a:srcRect t="1173" b="1173"/>
                    <a:stretch>
                      <a:fillRect/>
                    </a:stretch>
                  </pic:blipFill>
                  <pic:spPr>
                    <a:xfrm>
                      <a:off x="0" y="0"/>
                      <a:ext cx="1329690" cy="1889125"/>
                    </a:xfrm>
                    <a:prstGeom prst="rect">
                      <a:avLst/>
                    </a:prstGeom>
                    <a:noFill/>
                    <a:ln>
                      <a:noFill/>
                    </a:ln>
                  </pic:spPr>
                </pic:pic>
              </a:graphicData>
            </a:graphic>
          </wp:inline>
        </w:drawing>
      </w:r>
    </w:p>
    <w:p w14:paraId="392AD2A2" w14:textId="77777777" w:rsidR="003E4FA5" w:rsidRDefault="00000000">
      <w:pPr>
        <w:spacing w:beforeLines="100" w:before="240" w:afterLines="100" w:after="240"/>
        <w:ind w:firstLineChars="0" w:firstLine="0"/>
        <w:jc w:val="center"/>
        <w:rPr>
          <w:rFonts w:ascii="仿宋" w:hAnsi="仿宋" w:cs="仿宋" w:hint="eastAsia"/>
          <w:color w:val="000000" w:themeColor="text1"/>
          <w:szCs w:val="28"/>
          <w:lang w:eastAsia="zh-CN"/>
        </w:rPr>
      </w:pPr>
      <w:r>
        <w:rPr>
          <w:rFonts w:ascii="仿宋" w:hAnsi="仿宋" w:cs="仿宋" w:hint="eastAsia"/>
          <w:color w:val="000000" w:themeColor="text1"/>
          <w:szCs w:val="28"/>
          <w:lang w:eastAsia="zh-CN"/>
        </w:rPr>
        <w:t>周兴  律 师</w:t>
      </w:r>
    </w:p>
    <w:p w14:paraId="3ADF6D9E" w14:textId="4B9AA1A6" w:rsidR="003E4FA5" w:rsidRDefault="00000000">
      <w:pPr>
        <w:autoSpaceDE w:val="0"/>
        <w:autoSpaceDN w:val="0"/>
        <w:adjustRightInd w:val="0"/>
        <w:snapToGrid w:val="0"/>
        <w:spacing w:before="438" w:line="480" w:lineRule="exact"/>
        <w:ind w:firstLine="524"/>
        <w:textAlignment w:val="baseline"/>
        <w:rPr>
          <w:rFonts w:ascii="仿宋" w:hAnsi="仿宋" w:cs="仿宋" w:hint="eastAsia"/>
          <w:color w:val="000000" w:themeColor="text1"/>
          <w:szCs w:val="28"/>
          <w:lang w:eastAsia="zh-CN"/>
        </w:rPr>
      </w:pPr>
      <w:r>
        <w:rPr>
          <w:rFonts w:ascii="仿宋" w:hAnsi="仿宋" w:cs="仿宋" w:hint="eastAsia"/>
          <w:color w:val="000000" w:themeColor="text1"/>
          <w:spacing w:val="-9"/>
          <w:szCs w:val="28"/>
          <w:lang w:eastAsia="zh-CN"/>
        </w:rPr>
        <w:t>河南涛声律师事务所合伙人</w:t>
      </w:r>
      <w:r>
        <w:rPr>
          <w:rFonts w:ascii="仿宋" w:hAnsi="仿宋" w:cs="仿宋"/>
          <w:color w:val="000000" w:themeColor="text1"/>
          <w:spacing w:val="-9"/>
          <w:szCs w:val="28"/>
          <w:lang w:eastAsia="zh-CN"/>
        </w:rPr>
        <w:t>，注册会计师，税务师</w:t>
      </w:r>
      <w:r>
        <w:rPr>
          <w:rFonts w:ascii="仿宋" w:hAnsi="仿宋" w:cs="仿宋" w:hint="eastAsia"/>
          <w:color w:val="000000" w:themeColor="text1"/>
          <w:spacing w:val="-9"/>
          <w:szCs w:val="28"/>
          <w:lang w:eastAsia="zh-CN"/>
        </w:rPr>
        <w:t>；河南省律师协会税收法律专业委员会执委、济源市律师协会监事</w:t>
      </w:r>
      <w:r>
        <w:rPr>
          <w:rFonts w:ascii="仿宋" w:hAnsi="仿宋" w:cs="仿宋"/>
          <w:color w:val="000000" w:themeColor="text1"/>
          <w:spacing w:val="-9"/>
          <w:szCs w:val="28"/>
          <w:lang w:eastAsia="zh-CN"/>
        </w:rPr>
        <w:t>。</w:t>
      </w:r>
    </w:p>
    <w:p w14:paraId="287D0BEF" w14:textId="77777777" w:rsidR="003E4FA5" w:rsidRDefault="00000000">
      <w:pPr>
        <w:autoSpaceDE w:val="0"/>
        <w:autoSpaceDN w:val="0"/>
        <w:adjustRightInd w:val="0"/>
        <w:snapToGrid w:val="0"/>
        <w:spacing w:before="152" w:line="480" w:lineRule="exact"/>
        <w:ind w:firstLine="496"/>
        <w:textAlignment w:val="baseline"/>
        <w:rPr>
          <w:rFonts w:ascii="仿宋" w:hAnsi="仿宋" w:cs="仿宋" w:hint="eastAsia"/>
          <w:color w:val="000000" w:themeColor="text1"/>
          <w:szCs w:val="28"/>
          <w:lang w:eastAsia="zh-CN"/>
        </w:rPr>
      </w:pPr>
      <w:r>
        <w:rPr>
          <w:rFonts w:ascii="仿宋" w:hAnsi="仿宋" w:cs="仿宋"/>
          <w:color w:val="000000" w:themeColor="text1"/>
          <w:spacing w:val="-16"/>
          <w:szCs w:val="28"/>
          <w:lang w:eastAsia="zh-CN"/>
        </w:rPr>
        <w:t>专业领域</w:t>
      </w:r>
      <w:r>
        <w:rPr>
          <w:rFonts w:ascii="仿宋" w:hAnsi="仿宋" w:cs="仿宋" w:hint="eastAsia"/>
          <w:color w:val="000000" w:themeColor="text1"/>
          <w:spacing w:val="-16"/>
          <w:szCs w:val="28"/>
          <w:lang w:eastAsia="zh-CN"/>
        </w:rPr>
        <w:t>：</w:t>
      </w:r>
      <w:r>
        <w:rPr>
          <w:rFonts w:ascii="仿宋" w:hAnsi="仿宋" w:cs="仿宋"/>
          <w:color w:val="000000" w:themeColor="text1"/>
          <w:spacing w:val="-16"/>
          <w:szCs w:val="28"/>
          <w:lang w:eastAsia="zh-CN"/>
        </w:rPr>
        <w:t>公司法律事务，破产重整与清算，税法，</w:t>
      </w:r>
      <w:r>
        <w:rPr>
          <w:rFonts w:ascii="仿宋" w:hAnsi="仿宋" w:cs="仿宋" w:hint="eastAsia"/>
          <w:color w:val="000000" w:themeColor="text1"/>
          <w:szCs w:val="28"/>
          <w:lang w:eastAsia="zh-CN"/>
        </w:rPr>
        <w:t>建筑房地产等</w:t>
      </w:r>
      <w:r>
        <w:rPr>
          <w:rFonts w:ascii="仿宋" w:hAnsi="仿宋" w:cs="仿宋"/>
          <w:color w:val="000000" w:themeColor="text1"/>
          <w:spacing w:val="-4"/>
          <w:szCs w:val="28"/>
          <w:lang w:eastAsia="zh-CN"/>
        </w:rPr>
        <w:t>。</w:t>
      </w:r>
    </w:p>
    <w:p w14:paraId="603F98E1" w14:textId="77777777" w:rsidR="003E4FA5" w:rsidRDefault="003E4FA5">
      <w:pPr>
        <w:autoSpaceDE w:val="0"/>
        <w:autoSpaceDN w:val="0"/>
        <w:adjustRightInd w:val="0"/>
        <w:snapToGrid w:val="0"/>
        <w:ind w:firstLine="560"/>
        <w:outlineLvl w:val="0"/>
        <w:rPr>
          <w:color w:val="000000" w:themeColor="text1"/>
          <w:lang w:eastAsia="zh-CN"/>
        </w:rPr>
        <w:sectPr w:rsidR="003E4FA5">
          <w:headerReference w:type="default" r:id="rId17"/>
          <w:footerReference w:type="default" r:id="rId18"/>
          <w:pgSz w:w="11906" w:h="16839"/>
          <w:pgMar w:top="1604" w:right="1786" w:bottom="1151" w:left="1785" w:header="901" w:footer="1032" w:gutter="0"/>
          <w:pgNumType w:start="1"/>
          <w:cols w:space="720"/>
        </w:sectPr>
      </w:pPr>
    </w:p>
    <w:p w14:paraId="02D8CD67" w14:textId="77777777" w:rsidR="003E4FA5" w:rsidRDefault="00000000">
      <w:pPr>
        <w:pStyle w:val="1"/>
        <w:numPr>
          <w:ilvl w:val="0"/>
          <w:numId w:val="2"/>
        </w:numPr>
        <w:ind w:firstLine="640"/>
        <w:rPr>
          <w:rFonts w:hint="eastAsia"/>
          <w:color w:val="000000" w:themeColor="text1"/>
        </w:rPr>
      </w:pPr>
      <w:bookmarkStart w:id="6" w:name="二、要闻播报"/>
      <w:bookmarkStart w:id="7" w:name="_Toc24349"/>
      <w:bookmarkStart w:id="8" w:name="_Toc9496"/>
      <w:bookmarkStart w:id="9" w:name="_Toc29903"/>
      <w:bookmarkStart w:id="10" w:name="_Toc32371"/>
      <w:bookmarkStart w:id="11" w:name="_Toc9223"/>
      <w:bookmarkStart w:id="12" w:name="_Toc16410"/>
      <w:bookmarkStart w:id="13" w:name="_Toc8368"/>
      <w:bookmarkEnd w:id="6"/>
      <w:r>
        <w:rPr>
          <w:rFonts w:hint="eastAsia"/>
          <w:color w:val="000000" w:themeColor="text1"/>
        </w:rPr>
        <w:lastRenderedPageBreak/>
        <w:t>要闻播报</w:t>
      </w:r>
      <w:bookmarkEnd w:id="7"/>
      <w:bookmarkEnd w:id="8"/>
      <w:bookmarkEnd w:id="9"/>
      <w:bookmarkEnd w:id="10"/>
      <w:bookmarkEnd w:id="11"/>
      <w:bookmarkEnd w:id="12"/>
      <w:bookmarkEnd w:id="13"/>
    </w:p>
    <w:p w14:paraId="524C9DD7" w14:textId="77777777" w:rsidR="003E4FA5" w:rsidRDefault="00000000">
      <w:pPr>
        <w:pStyle w:val="2"/>
        <w:spacing w:before="140" w:after="140" w:line="360" w:lineRule="auto"/>
        <w:ind w:firstLine="600"/>
        <w:rPr>
          <w:color w:val="000000" w:themeColor="text1"/>
          <w:lang w:eastAsia="zh-CN"/>
        </w:rPr>
      </w:pPr>
      <w:bookmarkStart w:id="14" w:name="_Toc23705"/>
      <w:r>
        <w:rPr>
          <w:rFonts w:hint="eastAsia"/>
          <w:color w:val="000000" w:themeColor="text1"/>
          <w:lang w:eastAsia="zh-CN"/>
        </w:rPr>
        <w:t>（一）</w:t>
      </w:r>
      <w:bookmarkEnd w:id="14"/>
      <w:r>
        <w:rPr>
          <w:rFonts w:hint="eastAsia"/>
          <w:color w:val="000000" w:themeColor="text1"/>
          <w:lang w:eastAsia="zh-CN"/>
        </w:rPr>
        <w:t>第七届“一带一路”税收征管合作论坛在雅加达闭幕</w:t>
      </w:r>
      <w:r>
        <w:rPr>
          <w:rFonts w:hint="eastAsia"/>
          <w:color w:val="000000" w:themeColor="text1"/>
          <w:lang w:eastAsia="zh-CN"/>
        </w:rPr>
        <w:t xml:space="preserve">  </w:t>
      </w:r>
      <w:r>
        <w:rPr>
          <w:rFonts w:hint="eastAsia"/>
          <w:color w:val="000000" w:themeColor="text1"/>
          <w:lang w:eastAsia="zh-CN"/>
        </w:rPr>
        <w:t>六项成果赋能税收征管数字化、纳税服务便利化。</w:t>
      </w:r>
    </w:p>
    <w:p w14:paraId="60502E80" w14:textId="77777777" w:rsidR="003E4FA5" w:rsidRDefault="00000000">
      <w:pPr>
        <w:spacing w:line="360" w:lineRule="auto"/>
        <w:ind w:firstLine="560"/>
        <w:rPr>
          <w:color w:val="000000" w:themeColor="text1"/>
          <w:lang w:eastAsia="zh-CN"/>
        </w:rPr>
      </w:pPr>
      <w:r>
        <w:rPr>
          <w:rFonts w:hint="eastAsia"/>
          <w:color w:val="000000" w:themeColor="text1"/>
          <w:lang w:eastAsia="zh-CN"/>
        </w:rPr>
        <w:t>10</w:t>
      </w:r>
      <w:r>
        <w:rPr>
          <w:rFonts w:hint="eastAsia"/>
          <w:color w:val="000000" w:themeColor="text1"/>
          <w:lang w:eastAsia="zh-CN"/>
        </w:rPr>
        <w:t>月</w:t>
      </w:r>
      <w:r>
        <w:rPr>
          <w:rFonts w:hint="eastAsia"/>
          <w:color w:val="000000" w:themeColor="text1"/>
          <w:lang w:eastAsia="zh-CN"/>
        </w:rPr>
        <w:t>15</w:t>
      </w:r>
      <w:r>
        <w:rPr>
          <w:rFonts w:hint="eastAsia"/>
          <w:color w:val="000000" w:themeColor="text1"/>
          <w:lang w:eastAsia="zh-CN"/>
        </w:rPr>
        <w:t>日，为期三天的第七届“一带一路”税收征管合作论坛在印度尼西亚雅加达闭幕。本次论坛以“数治协同</w:t>
      </w:r>
      <w:r>
        <w:rPr>
          <w:rFonts w:hint="eastAsia"/>
          <w:color w:val="000000" w:themeColor="text1"/>
          <w:lang w:eastAsia="zh-CN"/>
        </w:rPr>
        <w:t xml:space="preserve"> </w:t>
      </w:r>
      <w:r>
        <w:rPr>
          <w:rFonts w:hint="eastAsia"/>
          <w:color w:val="000000" w:themeColor="text1"/>
          <w:lang w:eastAsia="zh-CN"/>
        </w:rPr>
        <w:t>税享未来”为主题，吸引了来自近</w:t>
      </w:r>
      <w:r>
        <w:rPr>
          <w:rFonts w:hint="eastAsia"/>
          <w:color w:val="000000" w:themeColor="text1"/>
          <w:lang w:eastAsia="zh-CN"/>
        </w:rPr>
        <w:t>40</w:t>
      </w:r>
      <w:r>
        <w:rPr>
          <w:rFonts w:hint="eastAsia"/>
          <w:color w:val="000000" w:themeColor="text1"/>
          <w:lang w:eastAsia="zh-CN"/>
        </w:rPr>
        <w:t>个国家和地区的税务部门负责人、</w:t>
      </w:r>
      <w:r>
        <w:rPr>
          <w:rFonts w:hint="eastAsia"/>
          <w:color w:val="000000" w:themeColor="text1"/>
          <w:lang w:eastAsia="zh-CN"/>
        </w:rPr>
        <w:t>8</w:t>
      </w:r>
      <w:r>
        <w:rPr>
          <w:rFonts w:hint="eastAsia"/>
          <w:color w:val="000000" w:themeColor="text1"/>
          <w:lang w:eastAsia="zh-CN"/>
        </w:rPr>
        <w:t>个国际组织以及部分中外跨国企业代表共</w:t>
      </w:r>
      <w:r>
        <w:rPr>
          <w:rFonts w:hint="eastAsia"/>
          <w:color w:val="000000" w:themeColor="text1"/>
          <w:lang w:eastAsia="zh-CN"/>
        </w:rPr>
        <w:t>300</w:t>
      </w:r>
      <w:r>
        <w:rPr>
          <w:rFonts w:hint="eastAsia"/>
          <w:color w:val="000000" w:themeColor="text1"/>
          <w:lang w:eastAsia="zh-CN"/>
        </w:rPr>
        <w:t>余人参加。与会嘉宾围绕税收征管数字化、纳税服务便利化、能力建设协同化等议题深入交流。在各方共同努力下，论坛达成广泛共识，圆满完成各项议程，发布多项重要成果。中国国家税务总局副局长蔡自力率团出席论坛。</w:t>
      </w:r>
    </w:p>
    <w:p w14:paraId="7F14DCD5" w14:textId="77777777" w:rsidR="003E4FA5" w:rsidRDefault="00000000">
      <w:pPr>
        <w:spacing w:line="360" w:lineRule="auto"/>
        <w:ind w:firstLine="560"/>
        <w:rPr>
          <w:color w:val="000000" w:themeColor="text1"/>
          <w:lang w:eastAsia="zh-CN"/>
        </w:rPr>
      </w:pPr>
      <w:r>
        <w:rPr>
          <w:rFonts w:hint="eastAsia"/>
          <w:color w:val="000000" w:themeColor="text1"/>
          <w:lang w:eastAsia="zh-CN"/>
        </w:rPr>
        <w:t>论坛开幕式上，“一带一路”税收征管合作机制秘书处秘书长、中国国家税务总局国际税务司副司长黄素华介绍了合作机制的最新进展，阐述了税收征管与纳税服务两大产品体系迭代升级的建设背景与发展规划。与会各方一致认为，合作机制自成立以来，在提升各参与方税收征管能力、推动税收现代化建设方面成效显著，已成为共建“一带一路”国家开展税收合作与实践的重要平台。</w:t>
      </w:r>
    </w:p>
    <w:p w14:paraId="5E68CCA4" w14:textId="77777777" w:rsidR="003E4FA5" w:rsidRDefault="00000000">
      <w:pPr>
        <w:spacing w:line="360" w:lineRule="auto"/>
        <w:ind w:firstLine="560"/>
        <w:rPr>
          <w:color w:val="000000" w:themeColor="text1"/>
          <w:lang w:eastAsia="zh-CN"/>
        </w:rPr>
      </w:pPr>
      <w:r>
        <w:rPr>
          <w:rFonts w:hint="eastAsia"/>
          <w:color w:val="000000" w:themeColor="text1"/>
          <w:lang w:eastAsia="zh-CN"/>
        </w:rPr>
        <w:t>论坛期间，蔡自力围绕“强化数智赋能</w:t>
      </w:r>
      <w:r>
        <w:rPr>
          <w:rFonts w:hint="eastAsia"/>
          <w:color w:val="000000" w:themeColor="text1"/>
          <w:lang w:eastAsia="zh-CN"/>
        </w:rPr>
        <w:t xml:space="preserve"> </w:t>
      </w:r>
      <w:r>
        <w:rPr>
          <w:rFonts w:hint="eastAsia"/>
          <w:color w:val="000000" w:themeColor="text1"/>
          <w:lang w:eastAsia="zh-CN"/>
        </w:rPr>
        <w:t>提升征管效能”发表主旨演讲。他介绍，当前数字经济和人工智能技术飞速发展，给各国税收治理带来了新的挑战。中国税务部门面对“涉税经营主体多、经济业态模式新、税务数据来源广、技术应用迭代快”的形势与挑战，从培训对象、知识体系、课程资源、教学方式、效果转化等五个维度深耕发力，全方位构建数智能力提升培训体系。作为“一带一路”税收征管合作机制发起方之一，中国始终秉持“共商共建共享”原则，着力推进中国—</w:t>
      </w:r>
      <w:r>
        <w:rPr>
          <w:rFonts w:hint="eastAsia"/>
          <w:color w:val="000000" w:themeColor="text1"/>
          <w:lang w:eastAsia="zh-CN"/>
        </w:rPr>
        <w:t>OECD</w:t>
      </w:r>
      <w:r>
        <w:rPr>
          <w:rFonts w:hint="eastAsia"/>
          <w:color w:val="000000" w:themeColor="text1"/>
          <w:lang w:eastAsia="zh-CN"/>
        </w:rPr>
        <w:t>联合培养税务法学硕士项目，依托北京、扬州两所“一带一路”税务学院，培训各国财税官员</w:t>
      </w:r>
      <w:r>
        <w:rPr>
          <w:rFonts w:hint="eastAsia"/>
          <w:color w:val="000000" w:themeColor="text1"/>
          <w:lang w:eastAsia="zh-CN"/>
        </w:rPr>
        <w:t>1400</w:t>
      </w:r>
      <w:r>
        <w:rPr>
          <w:rFonts w:hint="eastAsia"/>
          <w:color w:val="000000" w:themeColor="text1"/>
          <w:lang w:eastAsia="zh-CN"/>
        </w:rPr>
        <w:t>余名。他呼吁各方持续加强数智领域互学互鉴，推动经验</w:t>
      </w:r>
      <w:r>
        <w:rPr>
          <w:rFonts w:hint="eastAsia"/>
          <w:color w:val="000000" w:themeColor="text1"/>
          <w:lang w:eastAsia="zh-CN"/>
        </w:rPr>
        <w:lastRenderedPageBreak/>
        <w:t>分享更加务实、能力培训更加优质、交流协作更加深入，促进“一带一路”税收征管合作行稳致远。</w:t>
      </w:r>
    </w:p>
    <w:p w14:paraId="757F93C1" w14:textId="77777777" w:rsidR="003E4FA5" w:rsidRDefault="00000000">
      <w:pPr>
        <w:spacing w:line="360" w:lineRule="auto"/>
        <w:ind w:firstLine="560"/>
        <w:rPr>
          <w:color w:val="000000" w:themeColor="text1"/>
          <w:lang w:eastAsia="zh-CN"/>
        </w:rPr>
      </w:pPr>
      <w:r>
        <w:rPr>
          <w:rFonts w:hint="eastAsia"/>
          <w:color w:val="000000" w:themeColor="text1"/>
          <w:lang w:eastAsia="zh-CN"/>
        </w:rPr>
        <w:t>蔡自力先后与哈萨克斯坦财政部国家收入委员会副主席塞伊尔詹·阿赫梅托夫、埃及税务局副局长穆罕默德·凯什克进行会谈，就提升税收征管能力、深化“一带一路”税收征管合作等议题交换意见。此外，蔡自力还与来自印度尼西亚、尼泊尔、阿拉伯联合酋长国、马尔代夫、东帝汶、中国香港、中国澳门、国际货币基金组织等国家、地区和国际组织的代表，就深化国际税收合作进行交流。</w:t>
      </w:r>
    </w:p>
    <w:p w14:paraId="3A544DB2" w14:textId="77777777" w:rsidR="003E4FA5" w:rsidRDefault="00000000">
      <w:pPr>
        <w:spacing w:line="360" w:lineRule="auto"/>
        <w:ind w:firstLine="560"/>
        <w:rPr>
          <w:color w:val="000000" w:themeColor="text1"/>
          <w:lang w:eastAsia="zh-CN"/>
        </w:rPr>
      </w:pPr>
      <w:r>
        <w:rPr>
          <w:rFonts w:hint="eastAsia"/>
          <w:color w:val="000000" w:themeColor="text1"/>
          <w:lang w:eastAsia="zh-CN"/>
        </w:rPr>
        <w:t>闭幕式上，印度尼西亚税务局局长比莫·维贾扬托在致辞中表示，本届论坛成果丰硕，离不开各方伙伴的全情投入与坦诚交流。期待各方持续深化国际税收合作，将论坛理念转化为实际行动，推动成熟模式在不同税收体系中灵活落地，共同构建更加公平、透明、高效的全球税收环境。</w:t>
      </w:r>
    </w:p>
    <w:p w14:paraId="4F3585CC" w14:textId="77777777" w:rsidR="003E4FA5" w:rsidRDefault="00000000">
      <w:pPr>
        <w:spacing w:line="360" w:lineRule="auto"/>
        <w:ind w:firstLine="560"/>
        <w:rPr>
          <w:color w:val="000000" w:themeColor="text1"/>
          <w:lang w:eastAsia="zh-CN"/>
        </w:rPr>
      </w:pPr>
      <w:r>
        <w:rPr>
          <w:rFonts w:hint="eastAsia"/>
          <w:color w:val="000000" w:themeColor="text1"/>
          <w:lang w:eastAsia="zh-CN"/>
        </w:rPr>
        <w:t>黄素华介绍了本届论坛取得的六项重要成果：</w:t>
      </w:r>
    </w:p>
    <w:p w14:paraId="535ABEAC" w14:textId="77777777" w:rsidR="003E4FA5" w:rsidRDefault="00000000">
      <w:pPr>
        <w:spacing w:line="360" w:lineRule="auto"/>
        <w:ind w:firstLine="560"/>
        <w:rPr>
          <w:color w:val="000000" w:themeColor="text1"/>
          <w:lang w:eastAsia="zh-CN"/>
        </w:rPr>
      </w:pPr>
      <w:r>
        <w:rPr>
          <w:rFonts w:hint="eastAsia"/>
          <w:color w:val="000000" w:themeColor="text1"/>
          <w:lang w:eastAsia="zh-CN"/>
        </w:rPr>
        <w:t>——发表《第七届“一带一路”税收征管合作论坛联合声明》。总结合作机制成立以来的工作成效，展示第七届论坛成果，明确论坛达成的系列共识，呼吁各方深化合作，持续推进征管互鉴、能力共建，积极回应数字经济带来的税收新课题，以务实税收合作赋能全球共同发展。</w:t>
      </w:r>
    </w:p>
    <w:p w14:paraId="5B51A4F9" w14:textId="77777777" w:rsidR="003E4FA5" w:rsidRDefault="00000000">
      <w:pPr>
        <w:spacing w:line="360" w:lineRule="auto"/>
        <w:ind w:firstLine="560"/>
        <w:rPr>
          <w:color w:val="000000" w:themeColor="text1"/>
          <w:lang w:eastAsia="zh-CN"/>
        </w:rPr>
      </w:pPr>
      <w:r>
        <w:rPr>
          <w:rFonts w:hint="eastAsia"/>
          <w:color w:val="000000" w:themeColor="text1"/>
          <w:lang w:eastAsia="zh-CN"/>
        </w:rPr>
        <w:t>——发布《“一带一路”税收征管产品体系（</w:t>
      </w:r>
      <w:r>
        <w:rPr>
          <w:rFonts w:hint="eastAsia"/>
          <w:color w:val="000000" w:themeColor="text1"/>
          <w:lang w:eastAsia="zh-CN"/>
        </w:rPr>
        <w:t>2.0</w:t>
      </w:r>
      <w:r>
        <w:rPr>
          <w:rFonts w:hint="eastAsia"/>
          <w:color w:val="000000" w:themeColor="text1"/>
          <w:lang w:eastAsia="zh-CN"/>
        </w:rPr>
        <w:t>版）》。在</w:t>
      </w:r>
      <w:r>
        <w:rPr>
          <w:rFonts w:hint="eastAsia"/>
          <w:color w:val="000000" w:themeColor="text1"/>
          <w:lang w:eastAsia="zh-CN"/>
        </w:rPr>
        <w:t>1.0</w:t>
      </w:r>
      <w:r>
        <w:rPr>
          <w:rFonts w:hint="eastAsia"/>
          <w:color w:val="000000" w:themeColor="text1"/>
          <w:lang w:eastAsia="zh-CN"/>
        </w:rPr>
        <w:t>版本基础上进行了全面优化，进一步完善征管框架与内容体系，更好适配数字经济发展与各国征管实践需求，系统集成共建国家税收征管先进经验与典型案例，推动税收征管规则协同、标准互通、能力共升。</w:t>
      </w:r>
    </w:p>
    <w:p w14:paraId="6632D226" w14:textId="77777777" w:rsidR="003E4FA5" w:rsidRDefault="00000000">
      <w:pPr>
        <w:spacing w:line="360" w:lineRule="auto"/>
        <w:ind w:firstLine="560"/>
        <w:rPr>
          <w:color w:val="000000" w:themeColor="text1"/>
          <w:lang w:eastAsia="zh-CN"/>
        </w:rPr>
      </w:pPr>
      <w:r>
        <w:rPr>
          <w:rFonts w:hint="eastAsia"/>
          <w:color w:val="000000" w:themeColor="text1"/>
          <w:lang w:eastAsia="zh-CN"/>
        </w:rPr>
        <w:t>——发布《“一带一路”纳税服务产品体系（</w:t>
      </w:r>
      <w:r>
        <w:rPr>
          <w:rFonts w:hint="eastAsia"/>
          <w:color w:val="000000" w:themeColor="text1"/>
          <w:lang w:eastAsia="zh-CN"/>
        </w:rPr>
        <w:t>2.0</w:t>
      </w:r>
      <w:r>
        <w:rPr>
          <w:rFonts w:hint="eastAsia"/>
          <w:color w:val="000000" w:themeColor="text1"/>
          <w:lang w:eastAsia="zh-CN"/>
        </w:rPr>
        <w:t>版）》。在</w:t>
      </w:r>
      <w:r>
        <w:rPr>
          <w:rFonts w:hint="eastAsia"/>
          <w:color w:val="000000" w:themeColor="text1"/>
          <w:lang w:eastAsia="zh-CN"/>
        </w:rPr>
        <w:t>1.0</w:t>
      </w:r>
      <w:r>
        <w:rPr>
          <w:rFonts w:hint="eastAsia"/>
          <w:color w:val="000000" w:themeColor="text1"/>
          <w:lang w:eastAsia="zh-CN"/>
        </w:rPr>
        <w:t>版本基础上迭代升级，聚焦数字化、智能化、精准化，丰富服务内容、创新服务场景、强化权益保障，为共建国家提升纳税服务质效、降低税收遵从成本提供标准化指引与实践参考。</w:t>
      </w:r>
    </w:p>
    <w:p w14:paraId="46B4F903" w14:textId="77777777" w:rsidR="003E4FA5" w:rsidRDefault="00000000">
      <w:pPr>
        <w:spacing w:line="360" w:lineRule="auto"/>
        <w:ind w:firstLine="560"/>
        <w:rPr>
          <w:color w:val="000000" w:themeColor="text1"/>
          <w:lang w:eastAsia="zh-CN"/>
        </w:rPr>
      </w:pPr>
      <w:r>
        <w:rPr>
          <w:rFonts w:hint="eastAsia"/>
          <w:color w:val="000000" w:themeColor="text1"/>
          <w:lang w:eastAsia="zh-CN"/>
        </w:rPr>
        <w:lastRenderedPageBreak/>
        <w:t>——发布《“一带一路”税收征管与纳税服务产品体系配套产品集锦》。作为两大产品体系的年度落地成果，收录</w:t>
      </w:r>
      <w:r>
        <w:rPr>
          <w:rFonts w:hint="eastAsia"/>
          <w:color w:val="000000" w:themeColor="text1"/>
          <w:lang w:eastAsia="zh-CN"/>
        </w:rPr>
        <w:t>20</w:t>
      </w:r>
      <w:r>
        <w:rPr>
          <w:rFonts w:hint="eastAsia"/>
          <w:color w:val="000000" w:themeColor="text1"/>
          <w:lang w:eastAsia="zh-CN"/>
        </w:rPr>
        <w:t>项务实管用的配套产品，丰富两大产品体系的应用场景，提升成果实操性与落地效能，为共建国家提升税收治理能力、优化税收营商环境提供系统完备、可直接应用的工具支撑与实践范式。</w:t>
      </w:r>
    </w:p>
    <w:p w14:paraId="27C1AF93" w14:textId="77777777" w:rsidR="003E4FA5" w:rsidRDefault="00000000">
      <w:pPr>
        <w:spacing w:line="360" w:lineRule="auto"/>
        <w:ind w:firstLine="560"/>
        <w:rPr>
          <w:color w:val="000000" w:themeColor="text1"/>
          <w:lang w:eastAsia="zh-CN"/>
        </w:rPr>
      </w:pPr>
      <w:r>
        <w:rPr>
          <w:rFonts w:hint="eastAsia"/>
          <w:color w:val="000000" w:themeColor="text1"/>
          <w:lang w:eastAsia="zh-CN"/>
        </w:rPr>
        <w:t>——优化“一带一路”税收征管能力促进联盟课程。根据共建国家需求新增多门主题课程，融入最新实践案例与技术应用成果，并为重点线上课程增加法语和葡语字幕，持续完善线上线下培训体系，助力共建国家税收征管能力协同提升。</w:t>
      </w:r>
    </w:p>
    <w:p w14:paraId="4C7958D1" w14:textId="77777777" w:rsidR="003E4FA5" w:rsidRDefault="00000000">
      <w:pPr>
        <w:spacing w:line="360" w:lineRule="auto"/>
        <w:ind w:firstLine="560"/>
        <w:rPr>
          <w:color w:val="000000" w:themeColor="text1"/>
          <w:lang w:eastAsia="zh-CN"/>
        </w:rPr>
      </w:pPr>
      <w:r>
        <w:rPr>
          <w:rFonts w:hint="eastAsia"/>
          <w:color w:val="000000" w:themeColor="text1"/>
          <w:lang w:eastAsia="zh-CN"/>
        </w:rPr>
        <w:t>——发布《“一带一路”税收征管合作机制年度报告（</w:t>
      </w:r>
      <w:r>
        <w:rPr>
          <w:rFonts w:hint="eastAsia"/>
          <w:color w:val="000000" w:themeColor="text1"/>
          <w:lang w:eastAsia="zh-CN"/>
        </w:rPr>
        <w:t>2026</w:t>
      </w:r>
      <w:r>
        <w:rPr>
          <w:rFonts w:hint="eastAsia"/>
          <w:color w:val="000000" w:themeColor="text1"/>
          <w:lang w:eastAsia="zh-CN"/>
        </w:rPr>
        <w:t>）》。全面梳理合作机制一年来在平台建设、论坛活动、能力建设、成果落地等方面的工作进展与成效，系统展示机制建设最新成果，为各方深化合作提供参考。</w:t>
      </w:r>
    </w:p>
    <w:p w14:paraId="66512F87" w14:textId="77777777" w:rsidR="003E4FA5" w:rsidRDefault="00000000">
      <w:pPr>
        <w:spacing w:line="360" w:lineRule="auto"/>
        <w:ind w:firstLine="560"/>
        <w:rPr>
          <w:color w:val="000000" w:themeColor="text1"/>
          <w:lang w:eastAsia="zh-CN"/>
        </w:rPr>
      </w:pPr>
      <w:r>
        <w:rPr>
          <w:rFonts w:hint="eastAsia"/>
          <w:color w:val="000000" w:themeColor="text1"/>
          <w:lang w:eastAsia="zh-CN"/>
        </w:rPr>
        <w:t>论坛闭幕式还宣布，经合作机制理事会同意，第八届论坛将在塔吉克斯坦举办。塔吉克斯坦收入委员会主席达夫特拉佐达·纳萨塔罗·穆钦姆表示，塔吉克斯坦将立足历届论坛取得的成果与达成的共识接续开展工作，充分发挥本国地处古丝绸之路要道、联通多元文化的区域优势，全力做好下届论坛的组织筹备、议题设计等工作，力争实现高水准办会，为各方开展富有建设性的专业对话提供支撑保障。</w:t>
      </w:r>
    </w:p>
    <w:p w14:paraId="53993392" w14:textId="77777777" w:rsidR="003E4FA5" w:rsidRDefault="00000000">
      <w:pPr>
        <w:spacing w:line="360" w:lineRule="auto"/>
        <w:ind w:firstLine="560"/>
        <w:rPr>
          <w:color w:val="000000" w:themeColor="text1"/>
          <w:lang w:eastAsia="zh-CN"/>
        </w:rPr>
      </w:pPr>
      <w:r>
        <w:rPr>
          <w:rFonts w:hint="eastAsia"/>
          <w:color w:val="000000" w:themeColor="text1"/>
          <w:lang w:eastAsia="zh-CN"/>
        </w:rPr>
        <w:t>本届论坛上，各方积极评价“一带一路”税收征管合作机制在推动多边税收合作、服务全球税收治理等方面发挥的重要作用。</w:t>
      </w:r>
    </w:p>
    <w:p w14:paraId="375C4699" w14:textId="77777777" w:rsidR="003E4FA5" w:rsidRDefault="00000000">
      <w:pPr>
        <w:spacing w:line="360" w:lineRule="auto"/>
        <w:ind w:firstLine="560"/>
        <w:rPr>
          <w:color w:val="000000" w:themeColor="text1"/>
          <w:lang w:eastAsia="zh-CN"/>
        </w:rPr>
      </w:pPr>
      <w:r>
        <w:rPr>
          <w:rFonts w:hint="eastAsia"/>
          <w:color w:val="000000" w:themeColor="text1"/>
          <w:lang w:eastAsia="zh-CN"/>
        </w:rPr>
        <w:t>塔吉克斯坦收入委员会副主席巴赫季约尔·苏丹表示，本届论坛“数治协同</w:t>
      </w:r>
      <w:r>
        <w:rPr>
          <w:rFonts w:hint="eastAsia"/>
          <w:color w:val="000000" w:themeColor="text1"/>
          <w:lang w:eastAsia="zh-CN"/>
        </w:rPr>
        <w:t xml:space="preserve"> </w:t>
      </w:r>
      <w:r>
        <w:rPr>
          <w:rFonts w:hint="eastAsia"/>
          <w:color w:val="000000" w:themeColor="text1"/>
          <w:lang w:eastAsia="zh-CN"/>
        </w:rPr>
        <w:t>税享未来”的主题，精准概括了塔吉克斯坦过去十年来税收征管的变革历程。多年来，“一带一路”税收征管合作机制已成为务实合作与经验交流的有效平台，尤其在数字化建设和纳税服务领域成效显著。</w:t>
      </w:r>
    </w:p>
    <w:p w14:paraId="6A0D3E43" w14:textId="77777777" w:rsidR="003E4FA5" w:rsidRDefault="003E4FA5">
      <w:pPr>
        <w:spacing w:line="360" w:lineRule="auto"/>
        <w:ind w:firstLine="560"/>
        <w:rPr>
          <w:color w:val="000000" w:themeColor="text1"/>
          <w:lang w:eastAsia="zh-CN"/>
        </w:rPr>
      </w:pPr>
    </w:p>
    <w:p w14:paraId="191A72A6" w14:textId="77777777" w:rsidR="003E4FA5" w:rsidRDefault="00000000">
      <w:pPr>
        <w:spacing w:line="360" w:lineRule="auto"/>
        <w:ind w:firstLine="560"/>
        <w:rPr>
          <w:color w:val="000000" w:themeColor="text1"/>
          <w:lang w:eastAsia="zh-CN"/>
        </w:rPr>
      </w:pPr>
      <w:r>
        <w:rPr>
          <w:rFonts w:hint="eastAsia"/>
          <w:color w:val="000000" w:themeColor="text1"/>
          <w:lang w:eastAsia="zh-CN"/>
        </w:rPr>
        <w:lastRenderedPageBreak/>
        <w:t>尼泊尔税务局局长比什马·库马尔·布萨尔表示，“一带一路”税收征管合作机制是分享实践经验、支持能力建设的重要平台，尼泊尔期待与各方携手推动纳税服务产品体系</w:t>
      </w:r>
      <w:r>
        <w:rPr>
          <w:rFonts w:hint="eastAsia"/>
          <w:color w:val="000000" w:themeColor="text1"/>
          <w:lang w:eastAsia="zh-CN"/>
        </w:rPr>
        <w:t>2.0</w:t>
      </w:r>
      <w:r>
        <w:rPr>
          <w:rFonts w:hint="eastAsia"/>
          <w:color w:val="000000" w:themeColor="text1"/>
          <w:lang w:eastAsia="zh-CN"/>
        </w:rPr>
        <w:t>版本落地见效，让合作成果更好惠及广大纳税人。</w:t>
      </w:r>
    </w:p>
    <w:p w14:paraId="26AD09C5" w14:textId="77777777" w:rsidR="003E4FA5" w:rsidRDefault="00000000">
      <w:pPr>
        <w:spacing w:line="360" w:lineRule="auto"/>
        <w:ind w:firstLine="560"/>
        <w:rPr>
          <w:color w:val="000000" w:themeColor="text1"/>
          <w:lang w:eastAsia="zh-CN"/>
        </w:rPr>
      </w:pPr>
      <w:r>
        <w:rPr>
          <w:rFonts w:hint="eastAsia"/>
          <w:color w:val="000000" w:themeColor="text1"/>
          <w:lang w:eastAsia="zh-CN"/>
        </w:rPr>
        <w:t>阿联酋联邦税务局局长阿卜杜勒阿齐兹·穆罕默德·法拉杰·阿尔·穆拉认为，本次论坛组织非常成功，议题设置丰富而富有启发性，阿联酋联邦税务局将以此为契机，持续探索人机协同、高效治理的数字化征管路径，为构建开放合作、互利共赢的国际税收治理格局注入新的动力。</w:t>
      </w:r>
    </w:p>
    <w:p w14:paraId="575C9EA3" w14:textId="77777777" w:rsidR="003E4FA5" w:rsidRDefault="00000000">
      <w:pPr>
        <w:spacing w:line="360" w:lineRule="auto"/>
        <w:ind w:firstLine="560"/>
        <w:rPr>
          <w:color w:val="000000" w:themeColor="text1"/>
          <w:lang w:eastAsia="zh-CN"/>
        </w:rPr>
      </w:pPr>
      <w:r>
        <w:rPr>
          <w:rFonts w:hint="eastAsia"/>
          <w:color w:val="000000" w:themeColor="text1"/>
          <w:lang w:eastAsia="zh-CN"/>
        </w:rPr>
        <w:t>阿尔及利亚财政部税务总局税务立法与法规司司长穆罕德·阿穆尔称，合作机制搭建的能力建设平台为阿尔及利亚税务干部提升税收征管能力提供了有效帮助，特别是针对税收征管、人工智能等方面的主题培训实用性很强，深受税务干部欢迎。</w:t>
      </w:r>
    </w:p>
    <w:p w14:paraId="173EA56A" w14:textId="77777777" w:rsidR="003E4FA5" w:rsidRDefault="00000000">
      <w:pPr>
        <w:spacing w:line="360" w:lineRule="auto"/>
        <w:ind w:firstLine="560"/>
        <w:rPr>
          <w:color w:val="000000" w:themeColor="text1"/>
          <w:lang w:eastAsia="zh-CN"/>
        </w:rPr>
      </w:pPr>
      <w:r>
        <w:rPr>
          <w:rFonts w:hint="eastAsia"/>
          <w:color w:val="000000" w:themeColor="text1"/>
          <w:lang w:eastAsia="zh-CN"/>
        </w:rPr>
        <w:t>连续参加两届论坛的巴西联邦税务局驻华大使馆税务与海关参赞安德烈娅·科斯塔·沙维斯表示，本届论坛议程紧凑有序，各位嘉宾的分享和讨论令人深受启发。期待各方持续加强经验交流，完善跨境涉税信息交换，在共商共建共享中应对新经济形态税收治理挑战。</w:t>
      </w:r>
    </w:p>
    <w:p w14:paraId="595C90F3" w14:textId="77777777" w:rsidR="003E4FA5" w:rsidRDefault="00000000">
      <w:pPr>
        <w:spacing w:line="360" w:lineRule="auto"/>
        <w:ind w:firstLine="560"/>
        <w:rPr>
          <w:color w:val="000000" w:themeColor="text1"/>
          <w:lang w:eastAsia="zh-CN"/>
        </w:rPr>
      </w:pPr>
      <w:r>
        <w:rPr>
          <w:rFonts w:hint="eastAsia"/>
          <w:color w:val="000000" w:themeColor="text1"/>
          <w:lang w:eastAsia="zh-CN"/>
        </w:rPr>
        <w:t>普华永道全球税务政策服务主管威尔·莫里斯在工商业税收对话中表示，论坛为各国共享纳税服务经验提供了重要平台，相信各国税务部门将坚持以纳税人为先、以流程为本、以技术赋能，实现以纳税人为中心的数字化转型，让数字服务更好地回应企业需求。</w:t>
      </w:r>
    </w:p>
    <w:p w14:paraId="4F319205" w14:textId="77777777" w:rsidR="003E4FA5" w:rsidRDefault="00000000">
      <w:pPr>
        <w:spacing w:line="360" w:lineRule="auto"/>
        <w:ind w:firstLine="560"/>
        <w:rPr>
          <w:color w:val="000000" w:themeColor="text1"/>
          <w:lang w:eastAsia="zh-CN"/>
        </w:rPr>
      </w:pPr>
      <w:r>
        <w:rPr>
          <w:rFonts w:hint="eastAsia"/>
          <w:color w:val="000000" w:themeColor="text1"/>
          <w:lang w:eastAsia="zh-CN"/>
        </w:rPr>
        <w:t>国际商会税收委员会名誉主席、经合组织工商咨询委员会联合主席、德国工业联合会税收委员会主席、西门子公司税务部门总裁克里斯丁·凯瑟表示，“一带一路”税收征管合作论坛是交流税收业务、深化友谊、结识新朋的良好平台，令各方受益良多。</w:t>
      </w:r>
    </w:p>
    <w:p w14:paraId="3BBB9831" w14:textId="77777777" w:rsidR="003E4FA5" w:rsidRDefault="00000000">
      <w:pPr>
        <w:spacing w:line="360" w:lineRule="auto"/>
        <w:ind w:firstLine="560"/>
        <w:rPr>
          <w:color w:val="000000" w:themeColor="text1"/>
          <w:lang w:eastAsia="zh-CN"/>
        </w:rPr>
      </w:pPr>
      <w:r>
        <w:rPr>
          <w:rFonts w:hint="eastAsia"/>
          <w:color w:val="000000" w:themeColor="text1"/>
          <w:lang w:eastAsia="zh-CN"/>
        </w:rPr>
        <w:t>荷兰国际财政文献局执委会成员、税收服务部主管维克多·范·科默表示，合作机制组织相关国家、国际组织和商业界人士共聚一堂，高质量</w:t>
      </w:r>
      <w:r>
        <w:rPr>
          <w:rFonts w:hint="eastAsia"/>
          <w:color w:val="000000" w:themeColor="text1"/>
          <w:lang w:eastAsia="zh-CN"/>
        </w:rPr>
        <w:lastRenderedPageBreak/>
        <w:t>开展交流分享，对提升相关国家税收征管能力、优化国际营商环境具有积极意义。作为合作机制的老朋友，期待同各方进一步深化合作，共同推动共建国家税收征管能力提升。</w:t>
      </w:r>
    </w:p>
    <w:p w14:paraId="26CA697E" w14:textId="77777777" w:rsidR="003E4FA5" w:rsidRDefault="00000000">
      <w:pPr>
        <w:spacing w:line="360" w:lineRule="auto"/>
        <w:ind w:firstLine="560"/>
        <w:rPr>
          <w:color w:val="000000" w:themeColor="text1"/>
          <w:lang w:eastAsia="zh-CN"/>
        </w:rPr>
      </w:pPr>
      <w:r>
        <w:rPr>
          <w:rFonts w:hint="eastAsia"/>
          <w:color w:val="000000" w:themeColor="text1"/>
          <w:lang w:eastAsia="zh-CN"/>
        </w:rPr>
        <w:t>各方一致认为，面对世界经济深度调整、全球税收治理深刻变革等多重挑战，合作机制各方应同舟共济、携手前行，在数智赋能中深化协作，在互学互鉴中凝聚共识，携手把合作机制建设得更加务实高效，让税收合作成果更好惠及各国发展和人民福祉。</w:t>
      </w:r>
    </w:p>
    <w:p w14:paraId="3E3DCA82" w14:textId="77777777" w:rsidR="003E4FA5" w:rsidRDefault="00000000">
      <w:pPr>
        <w:spacing w:line="560" w:lineRule="exact"/>
        <w:ind w:firstLineChars="0" w:firstLine="0"/>
        <w:jc w:val="right"/>
        <w:rPr>
          <w:rFonts w:ascii="仿宋" w:hAnsi="仿宋" w:cs="仿宋" w:hint="eastAsia"/>
          <w:color w:val="000000" w:themeColor="text1"/>
          <w:szCs w:val="28"/>
          <w:lang w:eastAsia="zh-CN"/>
        </w:rPr>
      </w:pPr>
      <w:r>
        <w:rPr>
          <w:rFonts w:ascii="仿宋" w:hAnsi="仿宋" w:cs="仿宋" w:hint="eastAsia"/>
          <w:color w:val="000000" w:themeColor="text1"/>
          <w:szCs w:val="28"/>
          <w:lang w:eastAsia="zh-CN"/>
        </w:rPr>
        <w:t>信息来源：国家税务总局办公厅</w:t>
      </w:r>
    </w:p>
    <w:p w14:paraId="638EBEDB" w14:textId="77777777" w:rsidR="003E4FA5" w:rsidRDefault="00000000">
      <w:pPr>
        <w:spacing w:line="560" w:lineRule="exact"/>
        <w:ind w:firstLineChars="0" w:firstLine="0"/>
        <w:jc w:val="right"/>
        <w:rPr>
          <w:rFonts w:ascii="仿宋" w:hAnsi="仿宋" w:cs="仿宋" w:hint="eastAsia"/>
          <w:color w:val="000000" w:themeColor="text1"/>
          <w:szCs w:val="28"/>
        </w:rPr>
      </w:pPr>
      <w:r>
        <w:rPr>
          <w:rFonts w:ascii="仿宋" w:hAnsi="仿宋" w:cs="仿宋" w:hint="eastAsia"/>
          <w:color w:val="000000" w:themeColor="text1"/>
          <w:szCs w:val="28"/>
        </w:rPr>
        <w:t>时间：2026年</w:t>
      </w:r>
      <w:r>
        <w:rPr>
          <w:rFonts w:ascii="仿宋" w:hAnsi="仿宋" w:cs="仿宋" w:hint="eastAsia"/>
          <w:color w:val="000000" w:themeColor="text1"/>
          <w:szCs w:val="28"/>
          <w:lang w:eastAsia="zh-CN"/>
        </w:rPr>
        <w:t>10</w:t>
      </w:r>
      <w:r>
        <w:rPr>
          <w:rFonts w:ascii="仿宋" w:hAnsi="仿宋" w:cs="仿宋" w:hint="eastAsia"/>
          <w:color w:val="000000" w:themeColor="text1"/>
          <w:szCs w:val="28"/>
        </w:rPr>
        <w:t>月</w:t>
      </w:r>
      <w:r>
        <w:rPr>
          <w:rFonts w:ascii="仿宋" w:hAnsi="仿宋" w:cs="仿宋" w:hint="eastAsia"/>
          <w:color w:val="000000" w:themeColor="text1"/>
          <w:szCs w:val="28"/>
          <w:lang w:eastAsia="zh-CN"/>
        </w:rPr>
        <w:t>15</w:t>
      </w:r>
      <w:r>
        <w:rPr>
          <w:rFonts w:ascii="仿宋" w:hAnsi="仿宋" w:cs="仿宋" w:hint="eastAsia"/>
          <w:color w:val="000000" w:themeColor="text1"/>
          <w:szCs w:val="28"/>
        </w:rPr>
        <w:t>日</w:t>
      </w:r>
    </w:p>
    <w:p w14:paraId="763CCB65" w14:textId="77777777" w:rsidR="003E4FA5" w:rsidRDefault="00000000">
      <w:pPr>
        <w:wordWrap w:val="0"/>
        <w:spacing w:line="560" w:lineRule="exact"/>
        <w:ind w:firstLineChars="0" w:firstLine="0"/>
        <w:rPr>
          <w:rFonts w:ascii="仿宋" w:hAnsi="仿宋" w:cs="仿宋" w:hint="eastAsia"/>
          <w:color w:val="000000" w:themeColor="text1"/>
          <w:szCs w:val="28"/>
          <w:lang w:eastAsia="zh-CN"/>
        </w:rPr>
      </w:pPr>
      <w:r>
        <w:rPr>
          <w:rFonts w:ascii="仿宋" w:hAnsi="仿宋" w:cs="仿宋" w:hint="eastAsia"/>
          <w:color w:val="000000" w:themeColor="text1"/>
          <w:szCs w:val="28"/>
          <w:lang w:eastAsia="zh-CN"/>
        </w:rPr>
        <w:t>链接：https://www.chinatax.gov.cn/chinatax/n810219/n810724/c5252985/content.html</w:t>
      </w:r>
    </w:p>
    <w:p w14:paraId="1553DADA" w14:textId="77777777" w:rsidR="003E4FA5" w:rsidRDefault="00000000">
      <w:pPr>
        <w:pStyle w:val="2"/>
        <w:spacing w:before="140" w:after="140" w:line="360" w:lineRule="auto"/>
        <w:ind w:firstLine="600"/>
        <w:rPr>
          <w:color w:val="000000" w:themeColor="text1"/>
          <w:lang w:eastAsia="zh-CN"/>
        </w:rPr>
      </w:pPr>
      <w:bookmarkStart w:id="15" w:name="_Toc6089"/>
      <w:r>
        <w:rPr>
          <w:rFonts w:hint="eastAsia"/>
          <w:color w:val="000000" w:themeColor="text1"/>
          <w:lang w:eastAsia="zh-CN"/>
        </w:rPr>
        <w:t>（二）</w:t>
      </w:r>
      <w:bookmarkEnd w:id="15"/>
      <w:r>
        <w:rPr>
          <w:rFonts w:hint="eastAsia"/>
          <w:color w:val="000000" w:themeColor="text1"/>
          <w:lang w:eastAsia="zh-CN"/>
        </w:rPr>
        <w:t>增值税发票数据显示：国庆假期服务消费和部分商品消费态势良好。</w:t>
      </w:r>
    </w:p>
    <w:p w14:paraId="4CFFAC18" w14:textId="77777777" w:rsidR="003E4FA5" w:rsidRDefault="00000000">
      <w:pPr>
        <w:widowControl w:val="0"/>
        <w:snapToGrid w:val="0"/>
        <w:spacing w:beforeLines="50" w:before="120" w:afterLines="50" w:after="120" w:line="360" w:lineRule="auto"/>
        <w:ind w:firstLine="560"/>
        <w:contextualSpacing/>
        <w:rPr>
          <w:color w:val="000000" w:themeColor="text1"/>
          <w:lang w:eastAsia="zh-CN"/>
        </w:rPr>
      </w:pPr>
      <w:r>
        <w:rPr>
          <w:rFonts w:hint="eastAsia"/>
          <w:color w:val="000000" w:themeColor="text1"/>
          <w:lang w:eastAsia="zh-CN"/>
        </w:rPr>
        <w:t>税务总局利用增值税发票数据，对国庆假期相关消费行业销售收入情况进行分析。结果显示：国庆假期，全国服务消费旺盛，相关行业日均销售收入同比增长</w:t>
      </w:r>
      <w:r>
        <w:rPr>
          <w:rFonts w:hint="eastAsia"/>
          <w:color w:val="000000" w:themeColor="text1"/>
          <w:lang w:eastAsia="zh-CN"/>
        </w:rPr>
        <w:t>19.5%</w:t>
      </w:r>
      <w:r>
        <w:rPr>
          <w:rFonts w:hint="eastAsia"/>
          <w:color w:val="000000" w:themeColor="text1"/>
          <w:lang w:eastAsia="zh-CN"/>
        </w:rPr>
        <w:t>。部分商品消费良好，家用电器、数码电子、厨卫等销售增幅较高。</w:t>
      </w:r>
    </w:p>
    <w:p w14:paraId="0779F8D4" w14:textId="77777777" w:rsidR="003E4FA5" w:rsidRDefault="00000000">
      <w:pPr>
        <w:widowControl w:val="0"/>
        <w:snapToGrid w:val="0"/>
        <w:spacing w:beforeLines="50" w:before="120" w:afterLines="50" w:after="120" w:line="360" w:lineRule="auto"/>
        <w:ind w:firstLine="560"/>
        <w:contextualSpacing/>
        <w:rPr>
          <w:color w:val="000000" w:themeColor="text1"/>
          <w:lang w:eastAsia="zh-CN"/>
        </w:rPr>
      </w:pPr>
      <w:r>
        <w:rPr>
          <w:rFonts w:hint="eastAsia"/>
          <w:color w:val="000000" w:themeColor="text1"/>
          <w:lang w:eastAsia="zh-CN"/>
        </w:rPr>
        <w:t>一、旅游消费活力迸发，住宿服务类型更加多元</w:t>
      </w:r>
    </w:p>
    <w:p w14:paraId="6D4B83E7" w14:textId="77777777" w:rsidR="003E4FA5" w:rsidRDefault="00000000">
      <w:pPr>
        <w:widowControl w:val="0"/>
        <w:snapToGrid w:val="0"/>
        <w:spacing w:beforeLines="50" w:before="120" w:afterLines="50" w:after="120" w:line="360" w:lineRule="auto"/>
        <w:ind w:firstLine="560"/>
        <w:contextualSpacing/>
        <w:rPr>
          <w:color w:val="000000" w:themeColor="text1"/>
          <w:lang w:eastAsia="zh-CN"/>
        </w:rPr>
      </w:pPr>
      <w:r>
        <w:rPr>
          <w:rFonts w:hint="eastAsia"/>
          <w:color w:val="000000" w:themeColor="text1"/>
          <w:lang w:eastAsia="zh-CN"/>
        </w:rPr>
        <w:t>国庆假期，旅游消费市场热度持续高涨，旅游游览和娱乐服务销售收入同比增长</w:t>
      </w:r>
      <w:r>
        <w:rPr>
          <w:rFonts w:hint="eastAsia"/>
          <w:color w:val="000000" w:themeColor="text1"/>
          <w:lang w:eastAsia="zh-CN"/>
        </w:rPr>
        <w:t>23.6%</w:t>
      </w:r>
      <w:r>
        <w:rPr>
          <w:rFonts w:hint="eastAsia"/>
          <w:color w:val="000000" w:themeColor="text1"/>
          <w:lang w:eastAsia="zh-CN"/>
        </w:rPr>
        <w:t>，其中旅行社服务、游乐园同比分别增长</w:t>
      </w:r>
      <w:r>
        <w:rPr>
          <w:rFonts w:hint="eastAsia"/>
          <w:color w:val="000000" w:themeColor="text1"/>
          <w:lang w:eastAsia="zh-CN"/>
        </w:rPr>
        <w:t>26.2%</w:t>
      </w:r>
      <w:r>
        <w:rPr>
          <w:rFonts w:hint="eastAsia"/>
          <w:color w:val="000000" w:themeColor="text1"/>
          <w:lang w:eastAsia="zh-CN"/>
        </w:rPr>
        <w:t>和</w:t>
      </w:r>
      <w:r>
        <w:rPr>
          <w:rFonts w:hint="eastAsia"/>
          <w:color w:val="000000" w:themeColor="text1"/>
          <w:lang w:eastAsia="zh-CN"/>
        </w:rPr>
        <w:t>41.2%</w:t>
      </w:r>
      <w:r>
        <w:rPr>
          <w:rFonts w:hint="eastAsia"/>
          <w:color w:val="000000" w:themeColor="text1"/>
          <w:lang w:eastAsia="zh-CN"/>
        </w:rPr>
        <w:t>。在旅游消费的带动下，多元化住宿需求释放，经济型连锁酒店、民宿服务同比分别增长</w:t>
      </w:r>
      <w:r>
        <w:rPr>
          <w:rFonts w:hint="eastAsia"/>
          <w:color w:val="000000" w:themeColor="text1"/>
          <w:lang w:eastAsia="zh-CN"/>
        </w:rPr>
        <w:t>6.3%</w:t>
      </w:r>
      <w:r>
        <w:rPr>
          <w:rFonts w:hint="eastAsia"/>
          <w:color w:val="000000" w:themeColor="text1"/>
          <w:lang w:eastAsia="zh-CN"/>
        </w:rPr>
        <w:t>和</w:t>
      </w:r>
      <w:r>
        <w:rPr>
          <w:rFonts w:hint="eastAsia"/>
          <w:color w:val="000000" w:themeColor="text1"/>
          <w:lang w:eastAsia="zh-CN"/>
        </w:rPr>
        <w:t>12.8%</w:t>
      </w:r>
      <w:r>
        <w:rPr>
          <w:rFonts w:hint="eastAsia"/>
          <w:color w:val="000000" w:themeColor="text1"/>
          <w:lang w:eastAsia="zh-CN"/>
        </w:rPr>
        <w:t>。</w:t>
      </w:r>
    </w:p>
    <w:p w14:paraId="0510192D" w14:textId="77777777" w:rsidR="003E4FA5" w:rsidRDefault="00000000">
      <w:pPr>
        <w:widowControl w:val="0"/>
        <w:snapToGrid w:val="0"/>
        <w:spacing w:beforeLines="50" w:before="120" w:afterLines="50" w:after="120" w:line="360" w:lineRule="auto"/>
        <w:ind w:firstLine="560"/>
        <w:contextualSpacing/>
        <w:rPr>
          <w:color w:val="000000" w:themeColor="text1"/>
          <w:lang w:eastAsia="zh-CN"/>
        </w:rPr>
      </w:pPr>
      <w:r>
        <w:rPr>
          <w:rFonts w:hint="eastAsia"/>
          <w:color w:val="000000" w:themeColor="text1"/>
          <w:lang w:eastAsia="zh-CN"/>
        </w:rPr>
        <w:t>二、餐饮消费旺盛</w:t>
      </w:r>
    </w:p>
    <w:p w14:paraId="55A28852" w14:textId="77777777" w:rsidR="003E4FA5" w:rsidRDefault="00000000">
      <w:pPr>
        <w:widowControl w:val="0"/>
        <w:snapToGrid w:val="0"/>
        <w:spacing w:beforeLines="50" w:before="120" w:afterLines="50" w:after="120" w:line="360" w:lineRule="auto"/>
        <w:ind w:firstLine="560"/>
        <w:contextualSpacing/>
        <w:rPr>
          <w:color w:val="000000" w:themeColor="text1"/>
          <w:lang w:eastAsia="zh-CN"/>
        </w:rPr>
      </w:pPr>
      <w:r>
        <w:rPr>
          <w:rFonts w:hint="eastAsia"/>
          <w:color w:val="000000" w:themeColor="text1"/>
          <w:lang w:eastAsia="zh-CN"/>
        </w:rPr>
        <w:t>国庆假期，家庭聚餐、婚宴等活动带动餐饮消费旺盛，餐饮服务销售收入同比增长</w:t>
      </w:r>
      <w:r>
        <w:rPr>
          <w:rFonts w:hint="eastAsia"/>
          <w:color w:val="000000" w:themeColor="text1"/>
          <w:lang w:eastAsia="zh-CN"/>
        </w:rPr>
        <w:t>9%</w:t>
      </w:r>
      <w:r>
        <w:rPr>
          <w:rFonts w:hint="eastAsia"/>
          <w:color w:val="000000" w:themeColor="text1"/>
          <w:lang w:eastAsia="zh-CN"/>
        </w:rPr>
        <w:t>。其中，特色美食街、夜市经济繁荣，促进小吃服务同比</w:t>
      </w:r>
      <w:r>
        <w:rPr>
          <w:rFonts w:hint="eastAsia"/>
          <w:color w:val="000000" w:themeColor="text1"/>
          <w:lang w:eastAsia="zh-CN"/>
        </w:rPr>
        <w:lastRenderedPageBreak/>
        <w:t>增长</w:t>
      </w:r>
      <w:r>
        <w:rPr>
          <w:rFonts w:hint="eastAsia"/>
          <w:color w:val="000000" w:themeColor="text1"/>
          <w:lang w:eastAsia="zh-CN"/>
        </w:rPr>
        <w:t>15.5%</w:t>
      </w:r>
      <w:r>
        <w:rPr>
          <w:rFonts w:hint="eastAsia"/>
          <w:color w:val="000000" w:themeColor="text1"/>
          <w:lang w:eastAsia="zh-CN"/>
        </w:rPr>
        <w:t>；快餐服务同比增长</w:t>
      </w:r>
      <w:r>
        <w:rPr>
          <w:rFonts w:hint="eastAsia"/>
          <w:color w:val="000000" w:themeColor="text1"/>
          <w:lang w:eastAsia="zh-CN"/>
        </w:rPr>
        <w:t>30.6%</w:t>
      </w:r>
      <w:r>
        <w:rPr>
          <w:rFonts w:hint="eastAsia"/>
          <w:color w:val="000000" w:themeColor="text1"/>
          <w:lang w:eastAsia="zh-CN"/>
        </w:rPr>
        <w:t>，为消费者出行就餐提供便利；新式茶饮快速发展带动饮料及冷饮服务同比增长超</w:t>
      </w:r>
      <w:r>
        <w:rPr>
          <w:rFonts w:hint="eastAsia"/>
          <w:color w:val="000000" w:themeColor="text1"/>
          <w:lang w:eastAsia="zh-CN"/>
        </w:rPr>
        <w:t>2</w:t>
      </w:r>
      <w:r>
        <w:rPr>
          <w:rFonts w:hint="eastAsia"/>
          <w:color w:val="000000" w:themeColor="text1"/>
          <w:lang w:eastAsia="zh-CN"/>
        </w:rPr>
        <w:t>倍。</w:t>
      </w:r>
    </w:p>
    <w:p w14:paraId="57549BBD" w14:textId="77777777" w:rsidR="003E4FA5" w:rsidRDefault="00000000">
      <w:pPr>
        <w:widowControl w:val="0"/>
        <w:snapToGrid w:val="0"/>
        <w:spacing w:beforeLines="50" w:before="120" w:afterLines="50" w:after="120" w:line="360" w:lineRule="auto"/>
        <w:ind w:firstLine="560"/>
        <w:contextualSpacing/>
        <w:rPr>
          <w:color w:val="000000" w:themeColor="text1"/>
          <w:lang w:eastAsia="zh-CN"/>
        </w:rPr>
      </w:pPr>
      <w:r>
        <w:rPr>
          <w:rFonts w:hint="eastAsia"/>
          <w:color w:val="000000" w:themeColor="text1"/>
          <w:lang w:eastAsia="zh-CN"/>
        </w:rPr>
        <w:t>三、文体娱乐融合提质焕新</w:t>
      </w:r>
    </w:p>
    <w:p w14:paraId="63E7755A" w14:textId="77777777" w:rsidR="003E4FA5" w:rsidRDefault="00000000">
      <w:pPr>
        <w:widowControl w:val="0"/>
        <w:snapToGrid w:val="0"/>
        <w:spacing w:beforeLines="50" w:before="120" w:afterLines="50" w:after="120" w:line="360" w:lineRule="auto"/>
        <w:ind w:firstLine="560"/>
        <w:contextualSpacing/>
        <w:rPr>
          <w:color w:val="000000" w:themeColor="text1"/>
          <w:lang w:eastAsia="zh-CN"/>
        </w:rPr>
      </w:pPr>
      <w:r>
        <w:rPr>
          <w:rFonts w:hint="eastAsia"/>
          <w:color w:val="000000" w:themeColor="text1"/>
          <w:lang w:eastAsia="zh-CN"/>
        </w:rPr>
        <w:t>国庆假期，文化、体育、娱乐领域不断丰富新业态、新场景多样化供给，有效促进消费市场发展。多地举办演唱会、文化表演、民俗活动等，带动文化艺术服务销售收入同比增长</w:t>
      </w:r>
      <w:r>
        <w:rPr>
          <w:rFonts w:hint="eastAsia"/>
          <w:color w:val="000000" w:themeColor="text1"/>
          <w:lang w:eastAsia="zh-CN"/>
        </w:rPr>
        <w:t>20.9%</w:t>
      </w:r>
      <w:r>
        <w:rPr>
          <w:rFonts w:hint="eastAsia"/>
          <w:color w:val="000000" w:themeColor="text1"/>
          <w:lang w:eastAsia="zh-CN"/>
        </w:rPr>
        <w:t>，其中，文艺创作与表演服务、群众文体活动同比分别增长</w:t>
      </w:r>
      <w:r>
        <w:rPr>
          <w:rFonts w:hint="eastAsia"/>
          <w:color w:val="000000" w:themeColor="text1"/>
          <w:lang w:eastAsia="zh-CN"/>
        </w:rPr>
        <w:t>21%</w:t>
      </w:r>
      <w:r>
        <w:rPr>
          <w:rFonts w:hint="eastAsia"/>
          <w:color w:val="000000" w:themeColor="text1"/>
          <w:lang w:eastAsia="zh-CN"/>
        </w:rPr>
        <w:t>、</w:t>
      </w:r>
      <w:r>
        <w:rPr>
          <w:rFonts w:hint="eastAsia"/>
          <w:color w:val="000000" w:themeColor="text1"/>
          <w:lang w:eastAsia="zh-CN"/>
        </w:rPr>
        <w:t>28.3%</w:t>
      </w:r>
      <w:r>
        <w:rPr>
          <w:rFonts w:hint="eastAsia"/>
          <w:color w:val="000000" w:themeColor="text1"/>
          <w:lang w:eastAsia="zh-CN"/>
        </w:rPr>
        <w:t>。中国网球公开赛等赛事流量转化为消费增量，带动体育服务销售收入同比增长</w:t>
      </w:r>
      <w:r>
        <w:rPr>
          <w:rFonts w:hint="eastAsia"/>
          <w:color w:val="000000" w:themeColor="text1"/>
          <w:lang w:eastAsia="zh-CN"/>
        </w:rPr>
        <w:t>29.4%</w:t>
      </w:r>
      <w:r>
        <w:rPr>
          <w:rFonts w:hint="eastAsia"/>
          <w:color w:val="000000" w:themeColor="text1"/>
          <w:lang w:eastAsia="zh-CN"/>
        </w:rPr>
        <w:t>。</w:t>
      </w:r>
    </w:p>
    <w:p w14:paraId="418DF9C7" w14:textId="77777777" w:rsidR="003E4FA5" w:rsidRDefault="00000000">
      <w:pPr>
        <w:widowControl w:val="0"/>
        <w:snapToGrid w:val="0"/>
        <w:spacing w:beforeLines="50" w:before="120" w:afterLines="50" w:after="120" w:line="360" w:lineRule="auto"/>
        <w:ind w:firstLine="560"/>
        <w:contextualSpacing/>
        <w:rPr>
          <w:color w:val="000000" w:themeColor="text1"/>
          <w:lang w:eastAsia="zh-CN"/>
        </w:rPr>
      </w:pPr>
      <w:r>
        <w:rPr>
          <w:rFonts w:hint="eastAsia"/>
          <w:color w:val="000000" w:themeColor="text1"/>
          <w:lang w:eastAsia="zh-CN"/>
        </w:rPr>
        <w:t>四、家用电器、数码电子、厨卫产品等销售亮眼</w:t>
      </w:r>
    </w:p>
    <w:p w14:paraId="7EB41956" w14:textId="77777777" w:rsidR="003E4FA5" w:rsidRDefault="00000000">
      <w:pPr>
        <w:widowControl w:val="0"/>
        <w:snapToGrid w:val="0"/>
        <w:spacing w:beforeLines="50" w:before="120" w:afterLines="50" w:after="120" w:line="360" w:lineRule="auto"/>
        <w:ind w:firstLine="560"/>
        <w:contextualSpacing/>
        <w:rPr>
          <w:color w:val="000000" w:themeColor="text1"/>
          <w:lang w:eastAsia="zh-CN"/>
        </w:rPr>
      </w:pPr>
      <w:r>
        <w:rPr>
          <w:rFonts w:hint="eastAsia"/>
          <w:color w:val="000000" w:themeColor="text1"/>
          <w:lang w:eastAsia="zh-CN"/>
        </w:rPr>
        <w:t>国庆假期，受消费品以旧换新补贴部分资金节前落地、数码新产品集中上市、家庭换新刚需长假集中释放等因素影响，家用电器和音像器材销售收入同比增长</w:t>
      </w:r>
      <w:r>
        <w:rPr>
          <w:rFonts w:hint="eastAsia"/>
          <w:color w:val="000000" w:themeColor="text1"/>
          <w:lang w:eastAsia="zh-CN"/>
        </w:rPr>
        <w:t>40.1%</w:t>
      </w:r>
      <w:r>
        <w:rPr>
          <w:rFonts w:hint="eastAsia"/>
          <w:color w:val="000000" w:themeColor="text1"/>
          <w:lang w:eastAsia="zh-CN"/>
        </w:rPr>
        <w:t>，其中冰箱、洗衣机等日用家电零售同比增长</w:t>
      </w:r>
      <w:r>
        <w:rPr>
          <w:rFonts w:hint="eastAsia"/>
          <w:color w:val="000000" w:themeColor="text1"/>
          <w:lang w:eastAsia="zh-CN"/>
        </w:rPr>
        <w:t>40.6%</w:t>
      </w:r>
      <w:r>
        <w:rPr>
          <w:rFonts w:hint="eastAsia"/>
          <w:color w:val="000000" w:themeColor="text1"/>
          <w:lang w:eastAsia="zh-CN"/>
        </w:rPr>
        <w:t>，电视机等家用视听设备零售同比增长</w:t>
      </w:r>
      <w:r>
        <w:rPr>
          <w:rFonts w:hint="eastAsia"/>
          <w:color w:val="000000" w:themeColor="text1"/>
          <w:lang w:eastAsia="zh-CN"/>
        </w:rPr>
        <w:t>36.6%</w:t>
      </w:r>
      <w:r>
        <w:rPr>
          <w:rFonts w:hint="eastAsia"/>
          <w:color w:val="000000" w:themeColor="text1"/>
          <w:lang w:eastAsia="zh-CN"/>
        </w:rPr>
        <w:t>。手机、手环等通讯器材销售收入同比增长</w:t>
      </w:r>
      <w:r>
        <w:rPr>
          <w:rFonts w:hint="eastAsia"/>
          <w:color w:val="000000" w:themeColor="text1"/>
          <w:lang w:eastAsia="zh-CN"/>
        </w:rPr>
        <w:t>119.8%</w:t>
      </w:r>
      <w:r>
        <w:rPr>
          <w:rFonts w:hint="eastAsia"/>
          <w:color w:val="000000" w:themeColor="text1"/>
          <w:lang w:eastAsia="zh-CN"/>
        </w:rPr>
        <w:t>。厨具卫具零售同比增长</w:t>
      </w:r>
      <w:r>
        <w:rPr>
          <w:rFonts w:hint="eastAsia"/>
          <w:color w:val="000000" w:themeColor="text1"/>
          <w:lang w:eastAsia="zh-CN"/>
        </w:rPr>
        <w:t>52.3%</w:t>
      </w:r>
      <w:r>
        <w:rPr>
          <w:rFonts w:hint="eastAsia"/>
          <w:color w:val="000000" w:themeColor="text1"/>
          <w:lang w:eastAsia="zh-CN"/>
        </w:rPr>
        <w:t>。</w:t>
      </w:r>
    </w:p>
    <w:p w14:paraId="5E3CF479" w14:textId="77777777" w:rsidR="003E4FA5" w:rsidRDefault="00000000">
      <w:pPr>
        <w:widowControl w:val="0"/>
        <w:snapToGrid w:val="0"/>
        <w:spacing w:beforeLines="50" w:before="120" w:afterLines="50" w:after="120" w:line="360" w:lineRule="auto"/>
        <w:ind w:firstLine="560"/>
        <w:contextualSpacing/>
        <w:rPr>
          <w:color w:val="000000" w:themeColor="text1"/>
          <w:lang w:eastAsia="zh-CN"/>
        </w:rPr>
      </w:pPr>
      <w:r>
        <w:rPr>
          <w:rFonts w:hint="eastAsia"/>
          <w:color w:val="000000" w:themeColor="text1"/>
          <w:lang w:eastAsia="zh-CN"/>
        </w:rPr>
        <w:t>五、宠物、健身、美容美发等悦己型消费增长较快</w:t>
      </w:r>
    </w:p>
    <w:p w14:paraId="637BA617" w14:textId="77777777" w:rsidR="003E4FA5" w:rsidRDefault="00000000">
      <w:pPr>
        <w:widowControl w:val="0"/>
        <w:snapToGrid w:val="0"/>
        <w:spacing w:beforeLines="50" w:before="120" w:afterLines="50" w:after="120" w:line="360" w:lineRule="auto"/>
        <w:ind w:firstLine="560"/>
        <w:contextualSpacing/>
        <w:rPr>
          <w:color w:val="000000" w:themeColor="text1"/>
          <w:lang w:eastAsia="zh-CN"/>
        </w:rPr>
      </w:pPr>
      <w:r>
        <w:rPr>
          <w:rFonts w:hint="eastAsia"/>
          <w:color w:val="000000" w:themeColor="text1"/>
          <w:lang w:eastAsia="zh-CN"/>
        </w:rPr>
        <w:t>国庆假期，悦己型消费成为新增长极，宠物服务、健身塑形、美容美发等消费活力激发，带动居民宠物服务、健身休闲活动、理发及美容服务销售收入同比分别增长</w:t>
      </w:r>
      <w:r>
        <w:rPr>
          <w:rFonts w:hint="eastAsia"/>
          <w:color w:val="000000" w:themeColor="text1"/>
          <w:lang w:eastAsia="zh-CN"/>
        </w:rPr>
        <w:t>80.8%</w:t>
      </w:r>
      <w:r>
        <w:rPr>
          <w:rFonts w:hint="eastAsia"/>
          <w:color w:val="000000" w:themeColor="text1"/>
          <w:lang w:eastAsia="zh-CN"/>
        </w:rPr>
        <w:t>、</w:t>
      </w:r>
      <w:r>
        <w:rPr>
          <w:rFonts w:hint="eastAsia"/>
          <w:color w:val="000000" w:themeColor="text1"/>
          <w:lang w:eastAsia="zh-CN"/>
        </w:rPr>
        <w:t>16.7%</w:t>
      </w:r>
      <w:r>
        <w:rPr>
          <w:rFonts w:hint="eastAsia"/>
          <w:color w:val="000000" w:themeColor="text1"/>
          <w:lang w:eastAsia="zh-CN"/>
        </w:rPr>
        <w:t>、</w:t>
      </w:r>
      <w:r>
        <w:rPr>
          <w:rFonts w:hint="eastAsia"/>
          <w:color w:val="000000" w:themeColor="text1"/>
          <w:lang w:eastAsia="zh-CN"/>
        </w:rPr>
        <w:t>37.1%</w:t>
      </w:r>
      <w:r>
        <w:rPr>
          <w:rFonts w:hint="eastAsia"/>
          <w:color w:val="000000" w:themeColor="text1"/>
          <w:lang w:eastAsia="zh-CN"/>
        </w:rPr>
        <w:t>。</w:t>
      </w:r>
    </w:p>
    <w:p w14:paraId="199F9BEC" w14:textId="77777777" w:rsidR="003E4FA5" w:rsidRDefault="00000000">
      <w:pPr>
        <w:widowControl w:val="0"/>
        <w:snapToGrid w:val="0"/>
        <w:spacing w:beforeLines="50" w:before="120" w:afterLines="50" w:after="120" w:line="360" w:lineRule="auto"/>
        <w:ind w:firstLineChars="1800" w:firstLine="5040"/>
        <w:contextualSpacing/>
        <w:rPr>
          <w:rFonts w:ascii="仿宋" w:hAnsi="仿宋" w:cs="仿宋" w:hint="eastAsia"/>
          <w:color w:val="000000" w:themeColor="text1"/>
          <w:szCs w:val="28"/>
          <w:lang w:eastAsia="zh-CN"/>
        </w:rPr>
      </w:pPr>
      <w:r>
        <w:rPr>
          <w:rFonts w:ascii="仿宋" w:hAnsi="仿宋" w:cs="仿宋" w:hint="eastAsia"/>
          <w:color w:val="000000" w:themeColor="text1"/>
          <w:szCs w:val="28"/>
          <w:lang w:eastAsia="zh-CN"/>
        </w:rPr>
        <w:t>信息来源：国家税务总局办公厅</w:t>
      </w:r>
    </w:p>
    <w:p w14:paraId="1B2D5EDD" w14:textId="77777777" w:rsidR="003E4FA5" w:rsidRDefault="00000000">
      <w:pPr>
        <w:spacing w:line="360" w:lineRule="auto"/>
        <w:ind w:firstLine="560"/>
        <w:jc w:val="right"/>
        <w:rPr>
          <w:rFonts w:ascii="仿宋" w:hAnsi="仿宋" w:cs="仿宋" w:hint="eastAsia"/>
          <w:color w:val="000000" w:themeColor="text1"/>
          <w:szCs w:val="28"/>
          <w:lang w:eastAsia="zh-CN"/>
        </w:rPr>
      </w:pPr>
      <w:bookmarkStart w:id="16" w:name="_Toc1287"/>
      <w:r>
        <w:rPr>
          <w:rFonts w:ascii="仿宋" w:hAnsi="仿宋" w:cs="仿宋" w:hint="eastAsia"/>
          <w:color w:val="000000" w:themeColor="text1"/>
          <w:szCs w:val="28"/>
          <w:lang w:eastAsia="zh-CN"/>
        </w:rPr>
        <w:t>时间：2026年10月8日</w:t>
      </w:r>
      <w:bookmarkEnd w:id="16"/>
    </w:p>
    <w:p w14:paraId="369D0B9E" w14:textId="77777777" w:rsidR="003E4FA5" w:rsidRDefault="00000000">
      <w:pPr>
        <w:wordWrap w:val="0"/>
        <w:ind w:firstLineChars="0" w:firstLine="0"/>
        <w:rPr>
          <w:rFonts w:ascii="仿宋" w:hAnsi="仿宋" w:cs="仿宋" w:hint="eastAsia"/>
          <w:color w:val="000000" w:themeColor="text1"/>
          <w:szCs w:val="28"/>
          <w:lang w:eastAsia="zh-CN"/>
        </w:rPr>
      </w:pPr>
      <w:r>
        <w:rPr>
          <w:rFonts w:ascii="仿宋" w:hAnsi="仿宋" w:cs="仿宋" w:hint="eastAsia"/>
          <w:color w:val="000000" w:themeColor="text1"/>
          <w:szCs w:val="28"/>
          <w:lang w:eastAsia="zh-CN"/>
        </w:rPr>
        <w:t>链接：https://www.chinatax.gov.cn/chinatax/n810219/n810724/c5252805/content.html</w:t>
      </w:r>
    </w:p>
    <w:p w14:paraId="41D3833E" w14:textId="77777777" w:rsidR="003E4FA5" w:rsidRDefault="00000000">
      <w:pPr>
        <w:pStyle w:val="2"/>
        <w:spacing w:before="140" w:after="140" w:line="360" w:lineRule="auto"/>
        <w:ind w:firstLine="600"/>
        <w:rPr>
          <w:color w:val="000000" w:themeColor="text1"/>
          <w:lang w:eastAsia="zh-CN"/>
        </w:rPr>
      </w:pPr>
      <w:bookmarkStart w:id="17" w:name="_Toc12236"/>
      <w:r>
        <w:rPr>
          <w:rFonts w:hint="eastAsia"/>
          <w:color w:val="000000" w:themeColor="text1"/>
          <w:lang w:eastAsia="zh-CN"/>
        </w:rPr>
        <w:t>（三）</w:t>
      </w:r>
      <w:bookmarkEnd w:id="17"/>
      <w:r>
        <w:rPr>
          <w:rFonts w:hint="eastAsia"/>
          <w:color w:val="000000" w:themeColor="text1"/>
          <w:lang w:eastAsia="zh-CN"/>
        </w:rPr>
        <w:t>增值税留抵退税新政实施一周年——累计办理留抵退税</w:t>
      </w:r>
      <w:r>
        <w:rPr>
          <w:rFonts w:hint="eastAsia"/>
          <w:color w:val="000000" w:themeColor="text1"/>
          <w:lang w:eastAsia="zh-CN"/>
        </w:rPr>
        <w:t>2818</w:t>
      </w:r>
      <w:r>
        <w:rPr>
          <w:rFonts w:hint="eastAsia"/>
          <w:color w:val="000000" w:themeColor="text1"/>
          <w:lang w:eastAsia="zh-CN"/>
        </w:rPr>
        <w:t>亿元</w:t>
      </w:r>
      <w:r>
        <w:rPr>
          <w:rFonts w:hint="eastAsia"/>
          <w:color w:val="000000" w:themeColor="text1"/>
          <w:lang w:eastAsia="zh-CN"/>
        </w:rPr>
        <w:t xml:space="preserve"> </w:t>
      </w:r>
      <w:r>
        <w:rPr>
          <w:rFonts w:hint="eastAsia"/>
          <w:color w:val="000000" w:themeColor="text1"/>
          <w:lang w:eastAsia="zh-CN"/>
        </w:rPr>
        <w:t>政策靶向支持效应有效释放</w:t>
      </w:r>
    </w:p>
    <w:p w14:paraId="6A5EA901" w14:textId="77777777" w:rsidR="003E4FA5" w:rsidRDefault="00000000">
      <w:pPr>
        <w:widowControl w:val="0"/>
        <w:snapToGrid w:val="0"/>
        <w:spacing w:beforeLines="50" w:before="120" w:afterLines="50" w:after="120" w:line="360" w:lineRule="auto"/>
        <w:ind w:firstLine="560"/>
        <w:contextualSpacing/>
        <w:rPr>
          <w:rFonts w:ascii="仿宋" w:hAnsi="仿宋" w:cs="仿宋" w:hint="eastAsia"/>
          <w:bCs/>
          <w:color w:val="000000" w:themeColor="text1"/>
          <w:szCs w:val="32"/>
          <w:lang w:eastAsia="zh-CN"/>
        </w:rPr>
      </w:pPr>
      <w:r>
        <w:rPr>
          <w:rFonts w:ascii="仿宋" w:hAnsi="仿宋" w:cs="仿宋" w:hint="eastAsia"/>
          <w:bCs/>
          <w:color w:val="000000" w:themeColor="text1"/>
          <w:szCs w:val="32"/>
          <w:lang w:eastAsia="zh-CN"/>
        </w:rPr>
        <w:t>国家税务总局最新数据显示，增值税留抵退税新政实施一年来，全国累计办理留抵退税2818亿元。从退税资金流向来看，制造、科研、软件、</w:t>
      </w:r>
      <w:r>
        <w:rPr>
          <w:rFonts w:ascii="仿宋" w:hAnsi="仿宋" w:cs="仿宋" w:hint="eastAsia"/>
          <w:bCs/>
          <w:color w:val="000000" w:themeColor="text1"/>
          <w:szCs w:val="32"/>
          <w:lang w:eastAsia="zh-CN"/>
        </w:rPr>
        <w:lastRenderedPageBreak/>
        <w:t>生态等4个重点行业受益显著，累计享受留抵退税2120亿元，较新政实施前同期增长10.4%；占全国留抵退税额的比例升至75.2%，较新政实施前同期提高21.4个百分点，政策靶向支持效应充分释放。</w:t>
      </w:r>
    </w:p>
    <w:p w14:paraId="4C867024" w14:textId="77777777" w:rsidR="003E4FA5" w:rsidRDefault="00000000">
      <w:pPr>
        <w:widowControl w:val="0"/>
        <w:snapToGrid w:val="0"/>
        <w:spacing w:beforeLines="50" w:before="120" w:afterLines="50" w:after="120" w:line="360" w:lineRule="auto"/>
        <w:ind w:firstLine="560"/>
        <w:contextualSpacing/>
        <w:rPr>
          <w:rFonts w:ascii="仿宋" w:hAnsi="仿宋" w:cs="仿宋" w:hint="eastAsia"/>
          <w:bCs/>
          <w:color w:val="000000" w:themeColor="text1"/>
          <w:szCs w:val="32"/>
          <w:lang w:eastAsia="zh-CN"/>
        </w:rPr>
      </w:pPr>
      <w:r>
        <w:rPr>
          <w:rFonts w:ascii="仿宋" w:hAnsi="仿宋" w:cs="仿宋" w:hint="eastAsia"/>
          <w:bCs/>
          <w:color w:val="000000" w:themeColor="text1"/>
          <w:szCs w:val="32"/>
          <w:lang w:eastAsia="zh-CN"/>
        </w:rPr>
        <w:t>2025年8月22日，财政部、国家税务总局发布公告，进一步完善增值税期末留抵退税政策。按照公告，从去年9月开始，我国对制造业、科学研究和技术服务业、软件和信息技术服务业、生态保护和环境治理业等4个行业，实行按月全额退还期末留抵税额，并调整部分行业退税比例和条件，持续细化政策细则、精准赋能重点领域。</w:t>
      </w:r>
    </w:p>
    <w:p w14:paraId="5C88FAAE" w14:textId="77777777" w:rsidR="003E4FA5" w:rsidRDefault="00000000">
      <w:pPr>
        <w:widowControl w:val="0"/>
        <w:snapToGrid w:val="0"/>
        <w:spacing w:beforeLines="50" w:before="120" w:afterLines="50" w:after="120" w:line="360" w:lineRule="auto"/>
        <w:ind w:firstLine="560"/>
        <w:contextualSpacing/>
        <w:rPr>
          <w:rFonts w:ascii="仿宋" w:hAnsi="仿宋" w:cs="仿宋" w:hint="eastAsia"/>
          <w:bCs/>
          <w:color w:val="000000" w:themeColor="text1"/>
          <w:szCs w:val="32"/>
          <w:lang w:eastAsia="zh-CN"/>
        </w:rPr>
      </w:pPr>
      <w:r>
        <w:rPr>
          <w:rFonts w:ascii="仿宋" w:hAnsi="仿宋" w:cs="仿宋" w:hint="eastAsia"/>
          <w:bCs/>
          <w:color w:val="000000" w:themeColor="text1"/>
          <w:szCs w:val="32"/>
          <w:lang w:eastAsia="zh-CN"/>
        </w:rPr>
        <w:t>“此次留抵退税政策的进一步调整完善，突出了对制造业、科技创新和绿色发展等国家发展战略的支持导向，提升了政策精准性。”中国财政科学研究院公共收入研究中心主任梁季认为，与以往阶段性政策不同，公告明确了一套分类清晰、可以长期稳定运行的留抵退税制度。</w:t>
      </w:r>
    </w:p>
    <w:p w14:paraId="0E05CABE" w14:textId="77777777" w:rsidR="003E4FA5" w:rsidRDefault="00000000">
      <w:pPr>
        <w:widowControl w:val="0"/>
        <w:snapToGrid w:val="0"/>
        <w:spacing w:beforeLines="50" w:before="120" w:afterLines="50" w:after="120" w:line="360" w:lineRule="auto"/>
        <w:ind w:firstLine="560"/>
        <w:contextualSpacing/>
        <w:rPr>
          <w:rFonts w:ascii="仿宋" w:hAnsi="仿宋" w:cs="仿宋" w:hint="eastAsia"/>
          <w:bCs/>
          <w:color w:val="000000" w:themeColor="text1"/>
          <w:szCs w:val="32"/>
          <w:lang w:eastAsia="zh-CN"/>
        </w:rPr>
      </w:pPr>
      <w:r>
        <w:rPr>
          <w:rFonts w:ascii="仿宋" w:hAnsi="仿宋" w:cs="仿宋" w:hint="eastAsia"/>
          <w:bCs/>
          <w:color w:val="000000" w:themeColor="text1"/>
          <w:szCs w:val="32"/>
          <w:lang w:eastAsia="zh-CN"/>
        </w:rPr>
        <w:t>新政落地一年来，各地税务部门在税务总局党委统筹部署下，聚焦“退得快、退得准、退得稳”核心目标，因地制宜推出一系列便民利企举措，打通退税减税落地“最后一公里”，让政策红利精准直达经营主体。</w:t>
      </w:r>
    </w:p>
    <w:p w14:paraId="0F3F9339" w14:textId="77777777" w:rsidR="003E4FA5" w:rsidRDefault="00000000">
      <w:pPr>
        <w:widowControl w:val="0"/>
        <w:snapToGrid w:val="0"/>
        <w:spacing w:beforeLines="50" w:before="120" w:afterLines="50" w:after="120" w:line="360" w:lineRule="auto"/>
        <w:ind w:firstLine="560"/>
        <w:contextualSpacing/>
        <w:rPr>
          <w:rFonts w:ascii="仿宋" w:hAnsi="仿宋" w:cs="仿宋" w:hint="eastAsia"/>
          <w:bCs/>
          <w:color w:val="000000" w:themeColor="text1"/>
          <w:szCs w:val="32"/>
          <w:lang w:eastAsia="zh-CN"/>
        </w:rPr>
      </w:pPr>
      <w:r>
        <w:rPr>
          <w:rFonts w:ascii="仿宋" w:hAnsi="仿宋" w:cs="仿宋" w:hint="eastAsia"/>
          <w:bCs/>
          <w:color w:val="000000" w:themeColor="text1"/>
          <w:szCs w:val="32"/>
          <w:lang w:eastAsia="zh-CN"/>
        </w:rPr>
        <w:t>上海市税务部门依托电子税务局实现数据自动抓取、税额自动计算、表单自动预填，全流程无纸化办结。税务、国库、银行三方协作链路打通后，退税效率大幅提升。苏州将“智能审批”引入退税审核，系统整合企业信用、申报数据、财务报表等多维信息，自动完成校验、计算与风险筛查，符合留抵退税条件的企业提交申请后，很快就可以收到退税到账通知。</w:t>
      </w:r>
    </w:p>
    <w:p w14:paraId="14FFAE07" w14:textId="77777777" w:rsidR="003E4FA5" w:rsidRDefault="00000000">
      <w:pPr>
        <w:widowControl w:val="0"/>
        <w:snapToGrid w:val="0"/>
        <w:spacing w:beforeLines="50" w:before="120" w:afterLines="50" w:after="120" w:line="360" w:lineRule="auto"/>
        <w:ind w:firstLine="560"/>
        <w:contextualSpacing/>
        <w:rPr>
          <w:rFonts w:ascii="仿宋" w:hAnsi="仿宋" w:cs="仿宋" w:hint="eastAsia"/>
          <w:bCs/>
          <w:color w:val="000000" w:themeColor="text1"/>
          <w:szCs w:val="32"/>
          <w:lang w:eastAsia="zh-CN"/>
        </w:rPr>
      </w:pPr>
      <w:r>
        <w:rPr>
          <w:rFonts w:ascii="仿宋" w:hAnsi="仿宋" w:cs="仿宋" w:hint="eastAsia"/>
          <w:bCs/>
          <w:color w:val="000000" w:themeColor="text1"/>
          <w:szCs w:val="32"/>
          <w:lang w:eastAsia="zh-CN"/>
        </w:rPr>
        <w:t>湖北省税务部门设置留抵退税专岗，指派业务骨干专门负责留抵退税审核，同时建立办税服务厅、税政、税源快速响应机制，指定专人跟踪留抵退税受理、审核、退库各环节办理进度，加快内部流转速度，切实提升退税服务质效。广西柳州市税务部门通过税收大数据平台建立重点企业留抵退税动态台账，按月度筛查企业进项抵扣、涉税申报数据，精准锁定符合退税条件的经营主体。</w:t>
      </w:r>
    </w:p>
    <w:p w14:paraId="2FC3FE7D" w14:textId="77777777" w:rsidR="003E4FA5" w:rsidRDefault="00000000">
      <w:pPr>
        <w:widowControl w:val="0"/>
        <w:snapToGrid w:val="0"/>
        <w:spacing w:beforeLines="50" w:before="120" w:afterLines="50" w:after="120" w:line="360" w:lineRule="auto"/>
        <w:ind w:firstLine="560"/>
        <w:contextualSpacing/>
        <w:rPr>
          <w:rFonts w:ascii="仿宋" w:hAnsi="仿宋" w:cs="仿宋" w:hint="eastAsia"/>
          <w:bCs/>
          <w:color w:val="000000" w:themeColor="text1"/>
          <w:szCs w:val="32"/>
          <w:lang w:eastAsia="zh-CN"/>
        </w:rPr>
      </w:pPr>
      <w:r>
        <w:rPr>
          <w:rFonts w:ascii="仿宋" w:hAnsi="仿宋" w:cs="仿宋" w:hint="eastAsia"/>
          <w:bCs/>
          <w:color w:val="000000" w:themeColor="text1"/>
          <w:szCs w:val="32"/>
          <w:lang w:eastAsia="zh-CN"/>
        </w:rPr>
        <w:lastRenderedPageBreak/>
        <w:t>退税活水精准滴灌科创前沿，为企业技术攻关、创新研发蓄力赋能。新政落地一年来，退税流向发生了深刻变化。制造业享受留抵退税规模最大，达1914亿元，占比升至67.9%，较新政实施前同期占比提高20.2个百分点。</w:t>
      </w:r>
    </w:p>
    <w:p w14:paraId="0D06C0E1" w14:textId="77777777" w:rsidR="003E4FA5" w:rsidRDefault="00000000">
      <w:pPr>
        <w:widowControl w:val="0"/>
        <w:snapToGrid w:val="0"/>
        <w:spacing w:beforeLines="50" w:before="120" w:afterLines="50" w:after="120" w:line="360" w:lineRule="auto"/>
        <w:ind w:firstLine="560"/>
        <w:contextualSpacing/>
        <w:rPr>
          <w:rFonts w:ascii="仿宋" w:hAnsi="仿宋" w:cs="仿宋" w:hint="eastAsia"/>
          <w:bCs/>
          <w:color w:val="000000" w:themeColor="text1"/>
          <w:szCs w:val="32"/>
          <w:lang w:eastAsia="zh-CN"/>
        </w:rPr>
      </w:pPr>
      <w:r>
        <w:rPr>
          <w:rFonts w:ascii="仿宋" w:hAnsi="仿宋" w:cs="仿宋" w:hint="eastAsia"/>
          <w:bCs/>
          <w:color w:val="000000" w:themeColor="text1"/>
          <w:szCs w:val="32"/>
          <w:lang w:eastAsia="zh-CN"/>
        </w:rPr>
        <w:t>“留抵退税新政精准直击我们扩产的痛点，缓解了资金周转压力。”柳州国轩电池有限公司财务总监侯军说。作为一家制造业企业，柳州国轩电池有限公司近年来产能规模持续扩容，8条生产线满负荷运转，上半年海外收入突破104亿元，同比增长22.66%。产线扩建、技术迭代升级，带来大额智能化设备采购等投入，形成了大量期末留抵税额。当地税务部门主动靠前服务，上门开展专项政策辅导，引导企业逐项梳理固定资产采购、原材料购进等抵扣凭证，规范涉税资料归集，助力企业顺利办理3076万元的留抵退税。</w:t>
      </w:r>
    </w:p>
    <w:p w14:paraId="57222572" w14:textId="77777777" w:rsidR="003E4FA5" w:rsidRDefault="00000000">
      <w:pPr>
        <w:widowControl w:val="0"/>
        <w:snapToGrid w:val="0"/>
        <w:spacing w:beforeLines="50" w:before="120" w:afterLines="50" w:after="120" w:line="360" w:lineRule="auto"/>
        <w:ind w:firstLine="560"/>
        <w:contextualSpacing/>
        <w:rPr>
          <w:rFonts w:ascii="仿宋" w:hAnsi="仿宋" w:cs="仿宋" w:hint="eastAsia"/>
          <w:bCs/>
          <w:color w:val="000000" w:themeColor="text1"/>
          <w:szCs w:val="32"/>
          <w:lang w:eastAsia="zh-CN"/>
        </w:rPr>
      </w:pPr>
      <w:r>
        <w:rPr>
          <w:rFonts w:ascii="仿宋" w:hAnsi="仿宋" w:cs="仿宋" w:hint="eastAsia"/>
          <w:bCs/>
          <w:color w:val="000000" w:themeColor="text1"/>
          <w:szCs w:val="32"/>
          <w:lang w:eastAsia="zh-CN"/>
        </w:rPr>
        <w:t>上海艾美探索者生命科学研发有限公司主要从事人用疫苗研发相关业务。疫苗研发周期长、设备投入大、资金占用重，营收还没完全打开时，公司有不少留抵税额一直没法盘活。受益于留抵退税新政，今年1月，公司成功办理了731万元的留抵退税款。“这相当于今年前8个月公司总支出的39.3%，占人工和租金支出的53.8%，几乎覆盖了大半年来公司最核心的刚性开支。”艾美公司总经理助理兼财务负责人王尧说。</w:t>
      </w:r>
    </w:p>
    <w:p w14:paraId="5403589C" w14:textId="77777777" w:rsidR="003E4FA5" w:rsidRDefault="00000000">
      <w:pPr>
        <w:widowControl w:val="0"/>
        <w:snapToGrid w:val="0"/>
        <w:spacing w:beforeLines="50" w:before="120" w:afterLines="50" w:after="120" w:line="360" w:lineRule="auto"/>
        <w:ind w:firstLine="560"/>
        <w:contextualSpacing/>
        <w:rPr>
          <w:rFonts w:ascii="仿宋" w:hAnsi="仿宋" w:cs="仿宋" w:hint="eastAsia"/>
          <w:bCs/>
          <w:color w:val="000000" w:themeColor="text1"/>
          <w:szCs w:val="32"/>
          <w:lang w:eastAsia="zh-CN"/>
        </w:rPr>
      </w:pPr>
      <w:r>
        <w:rPr>
          <w:rFonts w:ascii="仿宋" w:hAnsi="仿宋" w:cs="仿宋" w:hint="eastAsia"/>
          <w:bCs/>
          <w:color w:val="000000" w:themeColor="text1"/>
          <w:szCs w:val="32"/>
          <w:lang w:eastAsia="zh-CN"/>
        </w:rPr>
        <w:t>光大环保能源（玉林）有限公司是一家日处理生活垃圾达1200多吨的生态环保企业，正好落在新政支持的“生态保护和环境治理业”范围内。该公司除了感受到给力的留抵退税资金支持外，还有税务部门及时的合规辅导助力。</w:t>
      </w:r>
    </w:p>
    <w:p w14:paraId="1F6B3C7B" w14:textId="77777777" w:rsidR="003E4FA5" w:rsidRDefault="00000000">
      <w:pPr>
        <w:widowControl w:val="0"/>
        <w:snapToGrid w:val="0"/>
        <w:spacing w:beforeLines="50" w:before="120" w:afterLines="50" w:after="120" w:line="360" w:lineRule="auto"/>
        <w:ind w:firstLine="560"/>
        <w:contextualSpacing/>
        <w:rPr>
          <w:rFonts w:ascii="仿宋" w:hAnsi="仿宋" w:cs="仿宋" w:hint="eastAsia"/>
          <w:bCs/>
          <w:color w:val="000000" w:themeColor="text1"/>
          <w:szCs w:val="32"/>
          <w:lang w:eastAsia="zh-CN"/>
        </w:rPr>
      </w:pPr>
      <w:r>
        <w:rPr>
          <w:rFonts w:ascii="仿宋" w:hAnsi="仿宋" w:cs="仿宋" w:hint="eastAsia"/>
          <w:bCs/>
          <w:color w:val="000000" w:themeColor="text1"/>
          <w:szCs w:val="32"/>
          <w:lang w:eastAsia="zh-CN"/>
        </w:rPr>
        <w:t>“新政实施后，在进项税额归集上该如何处理，哪些凭证需要提前备查，哪些数据需要专项归集，我们心里确实没底，好在税务干部及时提供了合规辅导。”公司财务人员李霜说，税务干部主动上门给予辅导，帮企业逐项梳理进项税额、备查凭证和需要归集的数据，准确提交留抵退税申</w:t>
      </w:r>
      <w:r>
        <w:rPr>
          <w:rFonts w:ascii="仿宋" w:hAnsi="仿宋" w:cs="仿宋" w:hint="eastAsia"/>
          <w:bCs/>
          <w:color w:val="000000" w:themeColor="text1"/>
          <w:szCs w:val="32"/>
          <w:lang w:eastAsia="zh-CN"/>
        </w:rPr>
        <w:lastRenderedPageBreak/>
        <w:t>请，并辅导企业将退税申报纳入财务内控管理体系。“从最初的困惑顾虑，到现在的踏实安心，常态化、精准化的退税机制，不仅加速了资金回笼，更让企业经营发展有了稳定、可预期的政策支撑。”他说。</w:t>
      </w:r>
    </w:p>
    <w:p w14:paraId="6FFBEC0F" w14:textId="77777777" w:rsidR="003E4FA5" w:rsidRDefault="00000000">
      <w:pPr>
        <w:widowControl w:val="0"/>
        <w:snapToGrid w:val="0"/>
        <w:spacing w:beforeLines="50" w:before="120" w:afterLines="50" w:after="120" w:line="360" w:lineRule="auto"/>
        <w:ind w:firstLine="560"/>
        <w:contextualSpacing/>
        <w:rPr>
          <w:rFonts w:ascii="仿宋" w:hAnsi="仿宋" w:cs="仿宋" w:hint="eastAsia"/>
          <w:bCs/>
          <w:color w:val="000000" w:themeColor="text1"/>
          <w:szCs w:val="32"/>
          <w:lang w:eastAsia="zh-CN"/>
        </w:rPr>
      </w:pPr>
      <w:r>
        <w:rPr>
          <w:rFonts w:ascii="仿宋" w:hAnsi="仿宋" w:cs="仿宋" w:hint="eastAsia"/>
          <w:bCs/>
          <w:color w:val="000000" w:themeColor="text1"/>
          <w:szCs w:val="32"/>
          <w:lang w:eastAsia="zh-CN"/>
        </w:rPr>
        <w:t>从沿海开放前沿到内陆产业高地，从实体制造升级到科创技术攻关，从绿色生态治理到新兴产业培育，2818亿元留抵退税活水正精准流向制造业升级、科技攻关、绿色发展的最前沿，浇灌着实体经济的沃土。未来，税务部门将持续优化完善留抵退税长效机制，坚守“精准”内核、细化服务举措、提升赋能质效，让留抵退税的政策红利持续直达发展一线，为中国经济高质量发展注入源源不断的动能。</w:t>
      </w:r>
    </w:p>
    <w:p w14:paraId="2E9BF030" w14:textId="77777777" w:rsidR="003E4FA5" w:rsidRDefault="00000000">
      <w:pPr>
        <w:widowControl w:val="0"/>
        <w:snapToGrid w:val="0"/>
        <w:spacing w:beforeLines="50" w:before="120" w:afterLines="50" w:after="120" w:line="360" w:lineRule="auto"/>
        <w:ind w:firstLine="560"/>
        <w:contextualSpacing/>
        <w:jc w:val="right"/>
        <w:rPr>
          <w:rFonts w:ascii="仿宋" w:hAnsi="仿宋" w:cs="仿宋" w:hint="eastAsia"/>
          <w:color w:val="000000" w:themeColor="text1"/>
          <w:szCs w:val="28"/>
          <w:lang w:eastAsia="zh-CN"/>
        </w:rPr>
      </w:pPr>
      <w:r>
        <w:rPr>
          <w:rFonts w:ascii="仿宋" w:hAnsi="仿宋" w:cs="仿宋" w:hint="eastAsia"/>
          <w:color w:val="000000" w:themeColor="text1"/>
          <w:szCs w:val="28"/>
          <w:lang w:eastAsia="zh-CN"/>
        </w:rPr>
        <w:t>信息来源：国家税务总局办公厅</w:t>
      </w:r>
    </w:p>
    <w:p w14:paraId="2F5A3B47" w14:textId="77777777" w:rsidR="003E4FA5" w:rsidRDefault="00000000">
      <w:pPr>
        <w:widowControl w:val="0"/>
        <w:snapToGrid w:val="0"/>
        <w:spacing w:beforeLines="50" w:before="120" w:afterLines="50" w:after="120" w:line="360" w:lineRule="auto"/>
        <w:ind w:firstLine="560"/>
        <w:contextualSpacing/>
        <w:jc w:val="right"/>
        <w:rPr>
          <w:rFonts w:ascii="仿宋" w:hAnsi="仿宋" w:cs="仿宋" w:hint="eastAsia"/>
          <w:color w:val="000000" w:themeColor="text1"/>
          <w:szCs w:val="28"/>
          <w:lang w:eastAsia="zh-CN"/>
        </w:rPr>
      </w:pPr>
      <w:r>
        <w:rPr>
          <w:rFonts w:ascii="仿宋" w:hAnsi="仿宋" w:cs="仿宋" w:hint="eastAsia"/>
          <w:color w:val="000000" w:themeColor="text1"/>
          <w:szCs w:val="28"/>
          <w:lang w:eastAsia="zh-CN"/>
        </w:rPr>
        <w:t>时间：2026年9月29日</w:t>
      </w:r>
    </w:p>
    <w:p w14:paraId="33A0E477" w14:textId="77777777" w:rsidR="003E4FA5" w:rsidRDefault="00000000">
      <w:pPr>
        <w:widowControl w:val="0"/>
        <w:wordWrap w:val="0"/>
        <w:snapToGrid w:val="0"/>
        <w:spacing w:beforeLines="50" w:before="120" w:afterLines="50" w:after="120" w:line="360" w:lineRule="auto"/>
        <w:ind w:firstLineChars="0" w:firstLine="0"/>
        <w:contextualSpacing/>
        <w:rPr>
          <w:rFonts w:ascii="仿宋" w:hAnsi="仿宋" w:cs="仿宋" w:hint="eastAsia"/>
          <w:color w:val="000000" w:themeColor="text1"/>
          <w:szCs w:val="28"/>
          <w:lang w:eastAsia="zh-CN"/>
        </w:rPr>
      </w:pPr>
      <w:r>
        <w:rPr>
          <w:rFonts w:ascii="仿宋" w:hAnsi="仿宋" w:cs="仿宋" w:hint="eastAsia"/>
          <w:color w:val="000000" w:themeColor="text1"/>
          <w:szCs w:val="28"/>
          <w:lang w:eastAsia="zh-CN"/>
        </w:rPr>
        <w:t>链接：https://www.chinatax.gov.cn/chinatax/n810219/n810724/c5252718/content.html</w:t>
      </w:r>
    </w:p>
    <w:p w14:paraId="3E69829F" w14:textId="77777777" w:rsidR="003E4FA5" w:rsidRDefault="00000000">
      <w:pPr>
        <w:pStyle w:val="1"/>
        <w:numPr>
          <w:ilvl w:val="0"/>
          <w:numId w:val="3"/>
        </w:numPr>
        <w:ind w:firstLine="640"/>
        <w:rPr>
          <w:rFonts w:hint="eastAsia"/>
          <w:color w:val="000000" w:themeColor="text1"/>
        </w:rPr>
      </w:pPr>
      <w:bookmarkStart w:id="18" w:name="三、新法概览"/>
      <w:bookmarkStart w:id="19" w:name="_Toc28234"/>
      <w:bookmarkStart w:id="20" w:name="_Toc4591"/>
      <w:bookmarkStart w:id="21" w:name="_Toc3482"/>
      <w:bookmarkStart w:id="22" w:name="_Toc500"/>
      <w:bookmarkStart w:id="23" w:name="_Toc9334"/>
      <w:bookmarkStart w:id="24" w:name="_Toc11775"/>
      <w:bookmarkStart w:id="25" w:name="_Toc29802"/>
      <w:bookmarkEnd w:id="18"/>
      <w:r>
        <w:rPr>
          <w:rFonts w:hint="eastAsia"/>
          <w:color w:val="000000" w:themeColor="text1"/>
        </w:rPr>
        <w:t>新法概览</w:t>
      </w:r>
      <w:bookmarkEnd w:id="19"/>
      <w:bookmarkEnd w:id="20"/>
      <w:bookmarkEnd w:id="21"/>
      <w:bookmarkEnd w:id="22"/>
      <w:bookmarkEnd w:id="23"/>
      <w:bookmarkEnd w:id="24"/>
      <w:bookmarkEnd w:id="25"/>
    </w:p>
    <w:p w14:paraId="70C4DBFC" w14:textId="77777777" w:rsidR="003E4FA5" w:rsidRDefault="00000000">
      <w:pPr>
        <w:pStyle w:val="2"/>
        <w:spacing w:before="140" w:after="140" w:line="360" w:lineRule="auto"/>
        <w:ind w:firstLine="600"/>
        <w:rPr>
          <w:color w:val="000000" w:themeColor="text1"/>
          <w:lang w:eastAsia="zh-CN"/>
        </w:rPr>
      </w:pPr>
      <w:bookmarkStart w:id="26" w:name="_Toc25929"/>
      <w:bookmarkStart w:id="27" w:name="_Toc20834"/>
      <w:bookmarkStart w:id="28" w:name="_Toc12373"/>
      <w:bookmarkStart w:id="29" w:name="_Toc19888"/>
      <w:bookmarkStart w:id="30" w:name="_Toc3761"/>
      <w:bookmarkStart w:id="31" w:name="_Toc23282"/>
      <w:bookmarkStart w:id="32" w:name="_Toc27859"/>
      <w:r>
        <w:rPr>
          <w:rFonts w:hint="eastAsia"/>
          <w:color w:val="000000" w:themeColor="text1"/>
          <w:lang w:eastAsia="zh-CN"/>
        </w:rPr>
        <w:t>（一）财政部</w:t>
      </w:r>
      <w:r>
        <w:rPr>
          <w:rFonts w:hint="eastAsia"/>
          <w:color w:val="000000" w:themeColor="text1"/>
          <w:lang w:eastAsia="zh-CN"/>
        </w:rPr>
        <w:t xml:space="preserve"> </w:t>
      </w:r>
      <w:r>
        <w:rPr>
          <w:rFonts w:hint="eastAsia"/>
          <w:color w:val="000000" w:themeColor="text1"/>
          <w:lang w:eastAsia="zh-CN"/>
        </w:rPr>
        <w:t xml:space="preserve">税务总局关于调整部分产品出口退税政策的公告　</w:t>
      </w:r>
      <w:bookmarkEnd w:id="26"/>
      <w:r>
        <w:rPr>
          <w:rFonts w:hint="eastAsia"/>
          <w:color w:val="000000" w:themeColor="text1"/>
          <w:lang w:eastAsia="zh-CN"/>
        </w:rPr>
        <w:t>财政部</w:t>
      </w:r>
      <w:r>
        <w:rPr>
          <w:rFonts w:hint="eastAsia"/>
          <w:color w:val="000000" w:themeColor="text1"/>
          <w:lang w:eastAsia="zh-CN"/>
        </w:rPr>
        <w:t xml:space="preserve"> </w:t>
      </w:r>
      <w:r>
        <w:rPr>
          <w:rFonts w:hint="eastAsia"/>
          <w:color w:val="000000" w:themeColor="text1"/>
          <w:lang w:eastAsia="zh-CN"/>
        </w:rPr>
        <w:t>税务总局公告</w:t>
      </w:r>
      <w:r>
        <w:rPr>
          <w:rFonts w:hint="eastAsia"/>
          <w:color w:val="000000" w:themeColor="text1"/>
          <w:lang w:eastAsia="zh-CN"/>
        </w:rPr>
        <w:t>2026</w:t>
      </w:r>
      <w:r>
        <w:rPr>
          <w:rFonts w:hint="eastAsia"/>
          <w:color w:val="000000" w:themeColor="text1"/>
          <w:lang w:eastAsia="zh-CN"/>
        </w:rPr>
        <w:t>年第</w:t>
      </w:r>
      <w:r>
        <w:rPr>
          <w:rFonts w:hint="eastAsia"/>
          <w:color w:val="000000" w:themeColor="text1"/>
          <w:lang w:eastAsia="zh-CN"/>
        </w:rPr>
        <w:t>29</w:t>
      </w:r>
      <w:r>
        <w:rPr>
          <w:rFonts w:hint="eastAsia"/>
          <w:color w:val="000000" w:themeColor="text1"/>
          <w:lang w:eastAsia="zh-CN"/>
        </w:rPr>
        <w:t>号</w:t>
      </w:r>
    </w:p>
    <w:p w14:paraId="4B3844AA" w14:textId="77777777" w:rsidR="003E4FA5" w:rsidRDefault="00000000">
      <w:pPr>
        <w:pStyle w:val="a6"/>
        <w:spacing w:beforeLines="50" w:before="120" w:beforeAutospacing="0" w:afterLines="50" w:after="120" w:afterAutospacing="0"/>
        <w:ind w:firstLine="560"/>
        <w:jc w:val="both"/>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现就调整部分产品出口退税政策有关事项公告如下：</w:t>
      </w:r>
    </w:p>
    <w:p w14:paraId="48AEF9CF" w14:textId="77777777" w:rsidR="003E4FA5" w:rsidRDefault="00000000">
      <w:pPr>
        <w:pStyle w:val="a6"/>
        <w:spacing w:beforeLines="50" w:before="120" w:beforeAutospacing="0" w:afterLines="50" w:after="120" w:afterAutospacing="0"/>
        <w:ind w:firstLine="560"/>
        <w:jc w:val="both"/>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一、自2027年4月1日起，将新能源汽车的增值税出口退税率由13%下调至9%。具体产品清单见附件1。</w:t>
      </w:r>
    </w:p>
    <w:p w14:paraId="7BB2620C" w14:textId="77777777" w:rsidR="003E4FA5" w:rsidRDefault="00000000">
      <w:pPr>
        <w:pStyle w:val="a6"/>
        <w:spacing w:beforeLines="50" w:before="120" w:beforeAutospacing="0" w:afterLines="50" w:after="120" w:afterAutospacing="0"/>
        <w:ind w:firstLine="560"/>
        <w:jc w:val="both"/>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二、自2027年4月1日起，取消电子烟设备装置等产品增值税出口退税。具体产品清单见附件2。</w:t>
      </w:r>
    </w:p>
    <w:p w14:paraId="05685D20" w14:textId="77777777" w:rsidR="003E4FA5" w:rsidRDefault="00000000">
      <w:pPr>
        <w:pStyle w:val="a6"/>
        <w:spacing w:beforeLines="50" w:before="120" w:beforeAutospacing="0" w:afterLines="50" w:after="120" w:afterAutospacing="0"/>
        <w:ind w:firstLine="560"/>
        <w:jc w:val="both"/>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三、对上述产品中征收消费税的产品，出口消费税政策不作调整，继续适用消费税退（免）税政策。</w:t>
      </w:r>
    </w:p>
    <w:p w14:paraId="0FC9445C" w14:textId="77777777" w:rsidR="003E4FA5" w:rsidRDefault="00000000">
      <w:pPr>
        <w:pStyle w:val="a6"/>
        <w:spacing w:beforeLines="50" w:before="120" w:beforeAutospacing="0" w:afterLines="50" w:after="120" w:afterAutospacing="0"/>
        <w:ind w:firstLine="560"/>
        <w:jc w:val="both"/>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四、本公告所列产品适用的出口退税率以出口货物报关单注明的出口日期界定。</w:t>
      </w:r>
    </w:p>
    <w:p w14:paraId="37502596" w14:textId="77777777" w:rsidR="003E4FA5" w:rsidRDefault="00000000">
      <w:pPr>
        <w:pStyle w:val="a6"/>
        <w:spacing w:beforeLines="50" w:before="120" w:beforeAutospacing="0" w:afterLines="50" w:after="120" w:afterAutospacing="0"/>
        <w:ind w:firstLine="560"/>
        <w:jc w:val="both"/>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lastRenderedPageBreak/>
        <w:t>特此公告。</w:t>
      </w:r>
    </w:p>
    <w:p w14:paraId="18BEACC2" w14:textId="77777777" w:rsidR="003E4FA5" w:rsidRDefault="00000000">
      <w:pPr>
        <w:pStyle w:val="a6"/>
        <w:spacing w:beforeLines="50" w:before="120" w:beforeAutospacing="0" w:afterLines="50" w:after="120" w:afterAutospacing="0"/>
        <w:ind w:firstLine="560"/>
        <w:jc w:val="both"/>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附件：1.新能源汽车产品清单.pdf</w:t>
      </w:r>
    </w:p>
    <w:p w14:paraId="65F649F8" w14:textId="77777777" w:rsidR="003E4FA5" w:rsidRDefault="00000000">
      <w:pPr>
        <w:pStyle w:val="a6"/>
        <w:spacing w:beforeLines="50" w:before="120" w:beforeAutospacing="0" w:afterLines="50" w:after="120" w:afterAutospacing="0"/>
        <w:ind w:firstLine="560"/>
        <w:jc w:val="both"/>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 xml:space="preserve">　　　2.电子烟设备装置等产品清单.pdf。</w:t>
      </w:r>
    </w:p>
    <w:p w14:paraId="3480917A" w14:textId="77777777" w:rsidR="003E4FA5" w:rsidRDefault="00000000">
      <w:pPr>
        <w:pStyle w:val="a6"/>
        <w:spacing w:beforeLines="50" w:before="120" w:beforeAutospacing="0" w:afterLines="50" w:after="120" w:afterAutospacing="0"/>
        <w:ind w:firstLine="560"/>
        <w:jc w:val="center"/>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 xml:space="preserve">                                          财政部 税务总局</w:t>
      </w:r>
    </w:p>
    <w:p w14:paraId="4359BBC1" w14:textId="77777777" w:rsidR="003E4FA5" w:rsidRDefault="00000000">
      <w:pPr>
        <w:pStyle w:val="a6"/>
        <w:spacing w:beforeLines="50" w:before="120" w:beforeAutospacing="0" w:afterLines="50" w:after="120" w:afterAutospacing="0"/>
        <w:ind w:firstLine="560"/>
        <w:jc w:val="right"/>
        <w:rPr>
          <w:rFonts w:ascii="仿宋" w:hAnsi="仿宋" w:cs="仿宋" w:hint="eastAsia"/>
          <w:color w:val="000000" w:themeColor="text1"/>
          <w:szCs w:val="28"/>
        </w:rPr>
      </w:pPr>
      <w:r>
        <w:rPr>
          <w:rFonts w:ascii="仿宋" w:hAnsi="仿宋" w:cs="仿宋" w:hint="eastAsia"/>
          <w:color w:val="000000" w:themeColor="text1"/>
          <w:sz w:val="28"/>
          <w:szCs w:val="28"/>
          <w:shd w:val="clear" w:color="auto" w:fill="FFFFFF"/>
        </w:rPr>
        <w:t>2026年10月12日</w:t>
      </w:r>
    </w:p>
    <w:p w14:paraId="6484AB0F" w14:textId="77777777" w:rsidR="003E4FA5" w:rsidRDefault="00000000">
      <w:pPr>
        <w:pStyle w:val="2"/>
        <w:spacing w:before="140" w:after="140" w:line="360" w:lineRule="auto"/>
        <w:ind w:firstLine="600"/>
        <w:rPr>
          <w:color w:val="000000" w:themeColor="text1"/>
          <w:lang w:eastAsia="zh-CN"/>
        </w:rPr>
      </w:pPr>
      <w:bookmarkStart w:id="33" w:name="_Toc24114"/>
      <w:bookmarkStart w:id="34" w:name="_Toc8738"/>
      <w:bookmarkStart w:id="35" w:name="_Toc1745"/>
      <w:bookmarkStart w:id="36" w:name="_Toc29193"/>
      <w:bookmarkStart w:id="37" w:name="_Toc27263"/>
      <w:bookmarkStart w:id="38" w:name="_Toc28889"/>
      <w:bookmarkStart w:id="39" w:name="_Toc27260"/>
      <w:bookmarkEnd w:id="27"/>
      <w:bookmarkEnd w:id="28"/>
      <w:bookmarkEnd w:id="29"/>
      <w:bookmarkEnd w:id="30"/>
      <w:bookmarkEnd w:id="31"/>
      <w:bookmarkEnd w:id="32"/>
      <w:r>
        <w:rPr>
          <w:rFonts w:hint="eastAsia"/>
          <w:color w:val="000000" w:themeColor="text1"/>
          <w:lang w:eastAsia="zh-CN"/>
        </w:rPr>
        <w:t>（二）</w:t>
      </w:r>
      <w:bookmarkEnd w:id="33"/>
      <w:bookmarkEnd w:id="34"/>
      <w:bookmarkEnd w:id="35"/>
      <w:bookmarkEnd w:id="36"/>
      <w:bookmarkEnd w:id="37"/>
      <w:r>
        <w:rPr>
          <w:rFonts w:hint="eastAsia"/>
          <w:color w:val="000000" w:themeColor="text1"/>
          <w:lang w:eastAsia="zh-CN"/>
        </w:rPr>
        <w:t>国家税务总局关于发布出口退</w:t>
      </w:r>
      <w:r>
        <w:rPr>
          <w:rFonts w:ascii="仿宋" w:hAnsi="仿宋" w:cs="仿宋" w:hint="eastAsia"/>
          <w:color w:val="000000" w:themeColor="text1"/>
          <w:lang w:eastAsia="zh-CN"/>
        </w:rPr>
        <w:t>税率文库2026C版的</w:t>
      </w:r>
      <w:r>
        <w:rPr>
          <w:rFonts w:hint="eastAsia"/>
          <w:color w:val="000000" w:themeColor="text1"/>
          <w:lang w:eastAsia="zh-CN"/>
        </w:rPr>
        <w:t xml:space="preserve">通知　</w:t>
      </w:r>
      <w:bookmarkEnd w:id="38"/>
      <w:r>
        <w:rPr>
          <w:rFonts w:hint="eastAsia"/>
          <w:color w:val="000000" w:themeColor="text1"/>
          <w:lang w:eastAsia="zh-CN"/>
        </w:rPr>
        <w:t>税总货劳</w:t>
      </w:r>
      <w:r>
        <w:rPr>
          <w:rFonts w:ascii="仿宋" w:hAnsi="仿宋" w:cs="仿宋" w:hint="eastAsia"/>
          <w:color w:val="000000" w:themeColor="text1"/>
          <w:lang w:eastAsia="zh-CN"/>
        </w:rPr>
        <w:t>函〔2026〕214号</w:t>
      </w:r>
    </w:p>
    <w:p w14:paraId="50A35762" w14:textId="77777777" w:rsidR="003E4FA5" w:rsidRDefault="00000000">
      <w:pPr>
        <w:pStyle w:val="a6"/>
        <w:spacing w:beforeLines="50" w:before="120" w:beforeAutospacing="0" w:afterLines="50" w:after="120" w:afterAutospacing="0" w:line="360" w:lineRule="auto"/>
        <w:ind w:firstLine="560"/>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国家税务总局各省、自治区、直辖市和计划单列市税务局，国家税务总局驻各地特派员办事处：</w:t>
      </w:r>
    </w:p>
    <w:p w14:paraId="255C2AE3" w14:textId="77777777" w:rsidR="003E4FA5" w:rsidRDefault="00000000">
      <w:pPr>
        <w:pStyle w:val="a6"/>
        <w:spacing w:beforeLines="50" w:before="120" w:beforeAutospacing="0" w:afterLines="50" w:after="120" w:afterAutospacing="0" w:line="360" w:lineRule="auto"/>
        <w:ind w:firstLine="560"/>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根据海关编码调整情况，国家税务总局编制了2026C版出口退税率文库（以下简称文库）。现将有关事项通知如下：</w:t>
      </w:r>
    </w:p>
    <w:p w14:paraId="5BE60999" w14:textId="77777777" w:rsidR="003E4FA5" w:rsidRDefault="00000000">
      <w:pPr>
        <w:pStyle w:val="a6"/>
        <w:spacing w:beforeLines="50" w:before="120" w:beforeAutospacing="0" w:afterLines="50" w:after="120" w:afterAutospacing="0" w:line="360" w:lineRule="auto"/>
        <w:ind w:firstLine="560"/>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一、文库放置在国家税务总局可控FTP系统“程序发布”目录下。请各地及时下载，对出口退税审核系统进行文库升级，并将文库及时发放给出口企业。</w:t>
      </w:r>
    </w:p>
    <w:p w14:paraId="230B2932" w14:textId="77777777" w:rsidR="003E4FA5" w:rsidRDefault="00000000">
      <w:pPr>
        <w:pStyle w:val="a6"/>
        <w:spacing w:beforeLines="50" w:before="120" w:beforeAutospacing="0" w:afterLines="50" w:after="120" w:afterAutospacing="0" w:line="360" w:lineRule="auto"/>
        <w:ind w:firstLine="560"/>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二、各地要严格执行出口退税率，严禁擅自改变出口退税率，一经发现，严肃追究相关人员责任。</w:t>
      </w:r>
    </w:p>
    <w:p w14:paraId="7E382B3E" w14:textId="77777777" w:rsidR="003E4FA5" w:rsidRDefault="00000000">
      <w:pPr>
        <w:pStyle w:val="a6"/>
        <w:spacing w:beforeLines="50" w:before="120" w:beforeAutospacing="0" w:afterLines="50" w:after="120" w:afterAutospacing="0" w:line="360" w:lineRule="auto"/>
        <w:ind w:firstLine="560"/>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三、执行中发现的问题，请及时报告国家税务总局（货物和劳务税司）。</w:t>
      </w:r>
    </w:p>
    <w:p w14:paraId="4BDFDFAF" w14:textId="77777777" w:rsidR="003E4FA5" w:rsidRDefault="00000000">
      <w:pPr>
        <w:pStyle w:val="a6"/>
        <w:spacing w:beforeLines="50" w:before="120" w:beforeAutospacing="0" w:afterLines="50" w:after="120" w:afterAutospacing="0" w:line="360" w:lineRule="auto"/>
        <w:ind w:firstLine="560"/>
        <w:jc w:val="center"/>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 xml:space="preserve">                                          国家税务总局</w:t>
      </w:r>
    </w:p>
    <w:p w14:paraId="669527A5" w14:textId="77777777" w:rsidR="003E4FA5" w:rsidRDefault="00000000">
      <w:pPr>
        <w:pStyle w:val="a6"/>
        <w:spacing w:beforeLines="50" w:before="120" w:beforeAutospacing="0" w:afterLines="50" w:after="120" w:afterAutospacing="0" w:line="360" w:lineRule="auto"/>
        <w:ind w:firstLine="560"/>
        <w:jc w:val="right"/>
        <w:rPr>
          <w:rFonts w:ascii="仿宋" w:hAnsi="仿宋" w:cs="仿宋" w:hint="eastAsia"/>
          <w:color w:val="000000" w:themeColor="text1"/>
        </w:rPr>
      </w:pPr>
      <w:r>
        <w:rPr>
          <w:rFonts w:ascii="仿宋" w:hAnsi="仿宋" w:cs="仿宋" w:hint="eastAsia"/>
          <w:color w:val="000000" w:themeColor="text1"/>
          <w:sz w:val="28"/>
          <w:szCs w:val="28"/>
          <w:shd w:val="clear" w:color="auto" w:fill="FFFFFF"/>
        </w:rPr>
        <w:t xml:space="preserve">2026年9月30日           </w:t>
      </w:r>
      <w:bookmarkStart w:id="40" w:name="四、新规解读"/>
      <w:bookmarkEnd w:id="40"/>
    </w:p>
    <w:p w14:paraId="031ED470" w14:textId="77777777" w:rsidR="003E4FA5" w:rsidRDefault="00000000">
      <w:pPr>
        <w:pStyle w:val="2"/>
        <w:keepNext w:val="0"/>
        <w:spacing w:before="140" w:after="140" w:line="360" w:lineRule="auto"/>
        <w:ind w:firstLineChars="0" w:firstLine="0"/>
        <w:rPr>
          <w:rFonts w:ascii="仿宋" w:hAnsi="仿宋" w:cs="仿宋" w:hint="eastAsia"/>
          <w:color w:val="000000" w:themeColor="text1"/>
          <w:lang w:eastAsia="zh-CN"/>
        </w:rPr>
      </w:pPr>
      <w:bookmarkStart w:id="41" w:name="_Toc30141"/>
      <w:bookmarkStart w:id="42" w:name="_Toc1862"/>
      <w:bookmarkStart w:id="43" w:name="_Toc32052"/>
      <w:bookmarkStart w:id="44" w:name="_Toc15845"/>
      <w:bookmarkStart w:id="45" w:name="_Toc21251"/>
      <w:bookmarkStart w:id="46" w:name="_Toc30922"/>
      <w:r>
        <w:rPr>
          <w:rFonts w:hint="eastAsia"/>
          <w:color w:val="000000" w:themeColor="text1"/>
          <w:lang w:eastAsia="zh-CN"/>
        </w:rPr>
        <w:t>（三）</w:t>
      </w:r>
      <w:bookmarkEnd w:id="41"/>
      <w:bookmarkEnd w:id="42"/>
      <w:bookmarkEnd w:id="43"/>
      <w:bookmarkEnd w:id="44"/>
      <w:bookmarkEnd w:id="45"/>
      <w:r>
        <w:rPr>
          <w:rFonts w:ascii="仿宋" w:hAnsi="仿宋" w:cs="仿宋" w:hint="eastAsia"/>
          <w:color w:val="000000" w:themeColor="text1"/>
          <w:lang w:eastAsia="zh-CN"/>
        </w:rPr>
        <w:t>工业和信息化部 国家发展改革委 财政部 税务总局关于开展2026年度享受增值税加计抵减政策的集成电路企业清单制定工作的通知 工信部联电子函〔2026〕326号</w:t>
      </w:r>
      <w:bookmarkEnd w:id="46"/>
    </w:p>
    <w:p w14:paraId="50C88AF4" w14:textId="77777777" w:rsidR="003E4FA5" w:rsidRDefault="00000000">
      <w:pPr>
        <w:spacing w:beforeLines="50" w:before="120" w:afterLines="50" w:after="120" w:line="360" w:lineRule="auto"/>
        <w:ind w:firstLineChars="0" w:firstLine="0"/>
        <w:jc w:val="left"/>
        <w:rPr>
          <w:rFonts w:ascii="仿宋" w:hAnsi="仿宋" w:cs="仿宋" w:hint="eastAsia"/>
          <w:color w:val="000000" w:themeColor="text1"/>
          <w:szCs w:val="28"/>
          <w:shd w:val="clear" w:color="auto" w:fill="FFFFFF"/>
          <w:lang w:eastAsia="zh-CN"/>
        </w:rPr>
      </w:pPr>
      <w:r>
        <w:rPr>
          <w:rFonts w:ascii="仿宋" w:hAnsi="仿宋" w:cs="仿宋" w:hint="eastAsia"/>
          <w:color w:val="000000" w:themeColor="text1"/>
          <w:szCs w:val="28"/>
          <w:shd w:val="clear" w:color="auto" w:fill="FFFFFF"/>
          <w:lang w:eastAsia="zh-CN"/>
        </w:rPr>
        <w:lastRenderedPageBreak/>
        <w:t>各省、自治区、直辖市及计划单列市、新疆生产建设兵团工业和信息化主管部门、发展改革委、财政厅（局），国家税务总局各省、自治区、直辖市、计划单列市税务局：</w:t>
      </w:r>
    </w:p>
    <w:p w14:paraId="38878A4F" w14:textId="77777777" w:rsidR="003E4FA5" w:rsidRDefault="00000000">
      <w:pPr>
        <w:spacing w:beforeLines="50" w:before="120" w:afterLines="50" w:after="120" w:line="360" w:lineRule="auto"/>
        <w:ind w:firstLine="560"/>
        <w:jc w:val="left"/>
        <w:rPr>
          <w:rFonts w:ascii="仿宋" w:hAnsi="仿宋" w:cs="仿宋" w:hint="eastAsia"/>
          <w:color w:val="000000" w:themeColor="text1"/>
          <w:szCs w:val="28"/>
          <w:shd w:val="clear" w:color="auto" w:fill="FFFFFF"/>
          <w:lang w:eastAsia="zh-CN"/>
        </w:rPr>
      </w:pPr>
      <w:r>
        <w:rPr>
          <w:rFonts w:ascii="仿宋" w:hAnsi="仿宋" w:cs="仿宋" w:hint="eastAsia"/>
          <w:color w:val="000000" w:themeColor="text1"/>
          <w:szCs w:val="28"/>
          <w:shd w:val="clear" w:color="auto" w:fill="FFFFFF"/>
          <w:lang w:eastAsia="zh-CN"/>
        </w:rPr>
        <w:t>根据《财政部 税务总局关于集成电路企业增值税加计抵减政策的通知》（财税〔2023〕17号）要求，为做好2026年度享受加计抵减政策的集成电路企业清单制定工作，现将有关事项通知如下：</w:t>
      </w:r>
    </w:p>
    <w:p w14:paraId="42D1D71C" w14:textId="77777777" w:rsidR="003E4FA5" w:rsidRDefault="00000000">
      <w:pPr>
        <w:spacing w:beforeLines="50" w:before="120" w:afterLines="50" w:after="120" w:line="360" w:lineRule="auto"/>
        <w:ind w:firstLine="560"/>
        <w:jc w:val="left"/>
        <w:rPr>
          <w:rFonts w:ascii="仿宋" w:hAnsi="仿宋" w:cs="仿宋" w:hint="eastAsia"/>
          <w:color w:val="000000" w:themeColor="text1"/>
          <w:szCs w:val="28"/>
          <w:shd w:val="clear" w:color="auto" w:fill="FFFFFF"/>
          <w:lang w:eastAsia="zh-CN"/>
        </w:rPr>
      </w:pPr>
      <w:r>
        <w:rPr>
          <w:rFonts w:ascii="仿宋" w:hAnsi="仿宋" w:cs="仿宋" w:hint="eastAsia"/>
          <w:color w:val="000000" w:themeColor="text1"/>
          <w:szCs w:val="28"/>
          <w:shd w:val="clear" w:color="auto" w:fill="FFFFFF"/>
          <w:lang w:eastAsia="zh-CN"/>
        </w:rPr>
        <w:t>一、本通知所称清单是指财税〔2023〕17号文中提及的享受增值税加计抵减政策的集成电路设计、生产、封测、装备、材料企业清单。</w:t>
      </w:r>
    </w:p>
    <w:p w14:paraId="073621EB" w14:textId="77777777" w:rsidR="003E4FA5" w:rsidRDefault="00000000">
      <w:pPr>
        <w:spacing w:beforeLines="50" w:before="120" w:afterLines="50" w:after="120" w:line="360" w:lineRule="auto"/>
        <w:ind w:firstLine="560"/>
        <w:jc w:val="left"/>
        <w:rPr>
          <w:rFonts w:ascii="仿宋" w:hAnsi="仿宋" w:cs="仿宋" w:hint="eastAsia"/>
          <w:color w:val="000000" w:themeColor="text1"/>
          <w:szCs w:val="28"/>
          <w:shd w:val="clear" w:color="auto" w:fill="FFFFFF"/>
          <w:lang w:eastAsia="zh-CN"/>
        </w:rPr>
      </w:pPr>
      <w:r>
        <w:rPr>
          <w:rFonts w:ascii="仿宋" w:hAnsi="仿宋" w:cs="仿宋" w:hint="eastAsia"/>
          <w:color w:val="000000" w:themeColor="text1"/>
          <w:szCs w:val="28"/>
          <w:shd w:val="clear" w:color="auto" w:fill="FFFFFF"/>
          <w:lang w:eastAsia="zh-CN"/>
        </w:rPr>
        <w:t>二、申请列入清单的企业应于2026年10月9日至10月16日在信息填报系统（https://ic-tax.ccidthinktank.com/）中提交申请，并生成纸质文件，加盖企业公章，连同必要佐证材料（电子版、纸质版）报各省、自治区、直辖市及计划单列市、新疆生产建设兵团工业和信息化主管部门。已列入2025年清单的企业，拟继续申请进入2026年清单的，须重新提交《享受增值税加计抵减政策的集成电路企业提交材料明细表》（附件2）中的相关材料。</w:t>
      </w:r>
    </w:p>
    <w:p w14:paraId="42BFF88E" w14:textId="77777777" w:rsidR="003E4FA5" w:rsidRDefault="00000000">
      <w:pPr>
        <w:spacing w:beforeLines="50" w:before="120" w:afterLines="50" w:after="120" w:line="360" w:lineRule="auto"/>
        <w:ind w:firstLine="560"/>
        <w:jc w:val="left"/>
        <w:rPr>
          <w:rFonts w:ascii="仿宋" w:hAnsi="仿宋" w:cs="仿宋" w:hint="eastAsia"/>
          <w:color w:val="000000" w:themeColor="text1"/>
          <w:szCs w:val="28"/>
          <w:shd w:val="clear" w:color="auto" w:fill="FFFFFF"/>
          <w:lang w:eastAsia="zh-CN"/>
        </w:rPr>
      </w:pPr>
      <w:r>
        <w:rPr>
          <w:rFonts w:ascii="仿宋" w:hAnsi="仿宋" w:cs="仿宋" w:hint="eastAsia"/>
          <w:color w:val="000000" w:themeColor="text1"/>
          <w:szCs w:val="28"/>
          <w:shd w:val="clear" w:color="auto" w:fill="FFFFFF"/>
          <w:lang w:eastAsia="zh-CN"/>
        </w:rPr>
        <w:t>三、各省、自治区、直辖市及计划单列市、新疆生产建设兵团工业和信息化主管部门和发展改革委根据企业条件（附件1），对企业申报信息进行初核推荐后，于10月31日前将初核通过名单报送至工业和信息化部、国家发展改革委。</w:t>
      </w:r>
    </w:p>
    <w:p w14:paraId="59AF44AA" w14:textId="77777777" w:rsidR="003E4FA5" w:rsidRDefault="00000000">
      <w:pPr>
        <w:spacing w:beforeLines="50" w:before="120" w:afterLines="50" w:after="120" w:line="360" w:lineRule="auto"/>
        <w:ind w:firstLine="560"/>
        <w:jc w:val="left"/>
        <w:rPr>
          <w:rFonts w:ascii="仿宋" w:hAnsi="仿宋" w:cs="仿宋" w:hint="eastAsia"/>
          <w:color w:val="000000" w:themeColor="text1"/>
          <w:szCs w:val="28"/>
          <w:shd w:val="clear" w:color="auto" w:fill="FFFFFF"/>
          <w:lang w:eastAsia="zh-CN"/>
        </w:rPr>
      </w:pPr>
      <w:r>
        <w:rPr>
          <w:rFonts w:ascii="仿宋" w:hAnsi="仿宋" w:cs="仿宋" w:hint="eastAsia"/>
          <w:color w:val="000000" w:themeColor="text1"/>
          <w:szCs w:val="28"/>
          <w:shd w:val="clear" w:color="auto" w:fill="FFFFFF"/>
          <w:lang w:eastAsia="zh-CN"/>
        </w:rPr>
        <w:t>四、工业和信息化部会同国家发展改革委组织第三方机构，根据企业申报信息开展复核。根据复核意见，工业和信息化部、国家发展改革委、财政部、税务总局进行联审并确认最终清单。</w:t>
      </w:r>
    </w:p>
    <w:p w14:paraId="33EA08DF" w14:textId="77777777" w:rsidR="003E4FA5" w:rsidRDefault="00000000">
      <w:pPr>
        <w:spacing w:beforeLines="50" w:before="120" w:afterLines="50" w:after="120" w:line="360" w:lineRule="auto"/>
        <w:ind w:firstLine="560"/>
        <w:jc w:val="left"/>
        <w:rPr>
          <w:rFonts w:ascii="仿宋" w:hAnsi="仿宋" w:cs="仿宋" w:hint="eastAsia"/>
          <w:color w:val="000000" w:themeColor="text1"/>
          <w:szCs w:val="28"/>
          <w:shd w:val="clear" w:color="auto" w:fill="FFFFFF"/>
          <w:lang w:eastAsia="zh-CN"/>
        </w:rPr>
      </w:pPr>
      <w:r>
        <w:rPr>
          <w:rFonts w:ascii="仿宋" w:hAnsi="仿宋" w:cs="仿宋" w:hint="eastAsia"/>
          <w:color w:val="000000" w:themeColor="text1"/>
          <w:szCs w:val="28"/>
          <w:shd w:val="clear" w:color="auto" w:fill="FFFFFF"/>
          <w:lang w:eastAsia="zh-CN"/>
        </w:rPr>
        <w:t>五、企业可于11月30日后，从信息填报系统中查询是否列入清单。清单印发后，企业可在当期一并计提前期可计提但未计提的加计抵减额。</w:t>
      </w:r>
      <w:r>
        <w:rPr>
          <w:rFonts w:ascii="仿宋" w:hAnsi="仿宋" w:cs="仿宋" w:hint="eastAsia"/>
          <w:color w:val="000000" w:themeColor="text1"/>
          <w:szCs w:val="28"/>
          <w:shd w:val="clear" w:color="auto" w:fill="FFFFFF"/>
          <w:lang w:eastAsia="zh-CN"/>
        </w:rPr>
        <w:lastRenderedPageBreak/>
        <w:t>列入2026年清单的企业，于2026年1月1日起享受政策；已列入2025年清单但未列入2026年清单的企业，于2026年11月30日停止享受政策。</w:t>
      </w:r>
    </w:p>
    <w:p w14:paraId="3463280E" w14:textId="77777777" w:rsidR="003E4FA5" w:rsidRDefault="00000000">
      <w:pPr>
        <w:spacing w:beforeLines="50" w:before="120" w:afterLines="50" w:after="120" w:line="360" w:lineRule="auto"/>
        <w:ind w:firstLine="560"/>
        <w:jc w:val="left"/>
        <w:rPr>
          <w:rFonts w:ascii="仿宋" w:hAnsi="仿宋" w:cs="仿宋" w:hint="eastAsia"/>
          <w:color w:val="000000" w:themeColor="text1"/>
          <w:szCs w:val="28"/>
          <w:shd w:val="clear" w:color="auto" w:fill="FFFFFF"/>
          <w:lang w:eastAsia="zh-CN"/>
        </w:rPr>
      </w:pPr>
      <w:r>
        <w:rPr>
          <w:rFonts w:ascii="仿宋" w:hAnsi="仿宋" w:cs="仿宋" w:hint="eastAsia"/>
          <w:color w:val="000000" w:themeColor="text1"/>
          <w:szCs w:val="28"/>
          <w:shd w:val="clear" w:color="auto" w:fill="FFFFFF"/>
          <w:lang w:eastAsia="zh-CN"/>
        </w:rPr>
        <w:t>六、清单有效期内，如企业发生更名、分立、合并、重组、经营范围内不再包含企业所享税收优惠类型对应的业务等重大变化情况，应于完成变更登记之日起45日内向省级工业和信息化主管部门报告，省级工业和信息化主管部门于企业完成变更登记之日起60日内，将核实后的企业重大变化情况表（附件3）和相关材料报送工业和信息化部，工业和信息化部、国家发展改革委会同相关部门确定发生变更情形后是否继续符合享受优惠政策的企业条件。企业超过本条前述时间报送变更情况说明的，地方工业和信息化部门不予受理，该企业自变更登记之日起停止享受2026年度相关政策。</w:t>
      </w:r>
    </w:p>
    <w:p w14:paraId="5B048125" w14:textId="77777777" w:rsidR="003E4FA5" w:rsidRDefault="00000000">
      <w:pPr>
        <w:spacing w:beforeLines="50" w:before="120" w:afterLines="50" w:after="120" w:line="360" w:lineRule="auto"/>
        <w:ind w:firstLine="560"/>
        <w:jc w:val="left"/>
        <w:rPr>
          <w:rFonts w:ascii="仿宋" w:hAnsi="仿宋" w:cs="仿宋" w:hint="eastAsia"/>
          <w:color w:val="000000" w:themeColor="text1"/>
          <w:szCs w:val="28"/>
          <w:shd w:val="clear" w:color="auto" w:fill="FFFFFF"/>
          <w:lang w:eastAsia="zh-CN"/>
        </w:rPr>
      </w:pPr>
      <w:r>
        <w:rPr>
          <w:rFonts w:ascii="仿宋" w:hAnsi="仿宋" w:cs="仿宋" w:hint="eastAsia"/>
          <w:color w:val="000000" w:themeColor="text1"/>
          <w:szCs w:val="28"/>
          <w:shd w:val="clear" w:color="auto" w:fill="FFFFFF"/>
          <w:lang w:eastAsia="zh-CN"/>
        </w:rPr>
        <w:t>七、地方工业和信息化和发展改革部门会同财政、税务部门对清单内企业加强日常监管。在监管过程中，如发现企业存在以虚假信息获得减免税资格，应及时联合核查，并联合上报工业和信息化部、国家发展改革委进行复核。工业和信息化部、国家发展改革委会同相关部门复核后对确不符合条件的企业，函告财政部、税务总局按相关规定处理。</w:t>
      </w:r>
    </w:p>
    <w:p w14:paraId="56DB3D09" w14:textId="77777777" w:rsidR="003E4FA5" w:rsidRDefault="00000000">
      <w:pPr>
        <w:spacing w:beforeLines="50" w:before="120" w:afterLines="50" w:after="120" w:line="360" w:lineRule="auto"/>
        <w:ind w:firstLine="560"/>
        <w:jc w:val="left"/>
        <w:rPr>
          <w:rFonts w:ascii="仿宋" w:hAnsi="仿宋" w:cs="仿宋" w:hint="eastAsia"/>
          <w:color w:val="000000" w:themeColor="text1"/>
          <w:szCs w:val="28"/>
          <w:shd w:val="clear" w:color="auto" w:fill="FFFFFF"/>
          <w:lang w:eastAsia="zh-CN"/>
        </w:rPr>
      </w:pPr>
      <w:r>
        <w:rPr>
          <w:rFonts w:ascii="仿宋" w:hAnsi="仿宋" w:cs="仿宋" w:hint="eastAsia"/>
          <w:color w:val="000000" w:themeColor="text1"/>
          <w:szCs w:val="28"/>
          <w:shd w:val="clear" w:color="auto" w:fill="FFFFFF"/>
          <w:lang w:eastAsia="zh-CN"/>
        </w:rPr>
        <w:t>八、企业对所提供材料和数据的真实性负责。申报企业应签署承诺书，承诺申报如出现失信行为，接受有关部门按照法律、法规和国家有关规定处理。</w:t>
      </w:r>
    </w:p>
    <w:p w14:paraId="33C15EE2" w14:textId="77777777" w:rsidR="003E4FA5" w:rsidRDefault="00000000">
      <w:pPr>
        <w:spacing w:beforeLines="50" w:before="120" w:afterLines="50" w:after="120" w:line="360" w:lineRule="auto"/>
        <w:ind w:firstLine="560"/>
        <w:jc w:val="left"/>
        <w:rPr>
          <w:rFonts w:ascii="仿宋" w:hAnsi="仿宋" w:cs="仿宋" w:hint="eastAsia"/>
          <w:color w:val="000000" w:themeColor="text1"/>
          <w:szCs w:val="28"/>
          <w:shd w:val="clear" w:color="auto" w:fill="FFFFFF"/>
          <w:lang w:eastAsia="zh-CN"/>
        </w:rPr>
      </w:pPr>
      <w:r>
        <w:rPr>
          <w:rFonts w:ascii="仿宋" w:hAnsi="仿宋" w:cs="仿宋" w:hint="eastAsia"/>
          <w:color w:val="000000" w:themeColor="text1"/>
          <w:szCs w:val="28"/>
          <w:shd w:val="clear" w:color="auto" w:fill="FFFFFF"/>
          <w:lang w:eastAsia="zh-CN"/>
        </w:rPr>
        <w:t>九、本通知自印发之日起实施。工业和信息化部、国家发展改革委会同相关部门，根据产业发展、技术进步等情况，适时对符合政策的企业条件进行调整。</w:t>
      </w:r>
    </w:p>
    <w:p w14:paraId="1C61CB10" w14:textId="77777777" w:rsidR="003E4FA5" w:rsidRDefault="00000000">
      <w:pPr>
        <w:spacing w:beforeLines="50" w:before="120" w:afterLines="50" w:after="120" w:line="360" w:lineRule="auto"/>
        <w:ind w:firstLine="560"/>
        <w:jc w:val="left"/>
        <w:rPr>
          <w:rFonts w:ascii="仿宋" w:hAnsi="仿宋" w:cs="仿宋" w:hint="eastAsia"/>
          <w:color w:val="000000" w:themeColor="text1"/>
          <w:szCs w:val="28"/>
          <w:shd w:val="clear" w:color="auto" w:fill="FFFFFF"/>
          <w:lang w:eastAsia="zh-CN"/>
        </w:rPr>
      </w:pPr>
      <w:r>
        <w:rPr>
          <w:rFonts w:ascii="仿宋" w:hAnsi="仿宋" w:cs="仿宋" w:hint="eastAsia"/>
          <w:color w:val="000000" w:themeColor="text1"/>
          <w:szCs w:val="28"/>
          <w:shd w:val="clear" w:color="auto" w:fill="FFFFFF"/>
          <w:lang w:eastAsia="zh-CN"/>
        </w:rPr>
        <w:t>附件：</w:t>
      </w:r>
    </w:p>
    <w:p w14:paraId="6EB7D8CF" w14:textId="77777777" w:rsidR="003E4FA5" w:rsidRDefault="00000000">
      <w:pPr>
        <w:spacing w:beforeLines="50" w:before="120" w:afterLines="50" w:after="120" w:line="360" w:lineRule="auto"/>
        <w:ind w:firstLine="560"/>
        <w:jc w:val="left"/>
        <w:rPr>
          <w:rFonts w:ascii="仿宋" w:hAnsi="仿宋" w:cs="仿宋" w:hint="eastAsia"/>
          <w:color w:val="000000" w:themeColor="text1"/>
          <w:szCs w:val="28"/>
          <w:shd w:val="clear" w:color="auto" w:fill="FFFFFF"/>
          <w:lang w:eastAsia="zh-CN"/>
        </w:rPr>
      </w:pPr>
      <w:r>
        <w:rPr>
          <w:rFonts w:ascii="仿宋" w:hAnsi="仿宋" w:cs="仿宋" w:hint="eastAsia"/>
          <w:color w:val="000000" w:themeColor="text1"/>
          <w:szCs w:val="28"/>
          <w:shd w:val="clear" w:color="auto" w:fill="FFFFFF"/>
          <w:lang w:eastAsia="zh-CN"/>
        </w:rPr>
        <w:t>1.享受增值税加计抵减政策的集成电路企业条件.pdf</w:t>
      </w:r>
    </w:p>
    <w:p w14:paraId="1E057FA7" w14:textId="77777777" w:rsidR="003E4FA5" w:rsidRDefault="00000000">
      <w:pPr>
        <w:spacing w:beforeLines="50" w:before="120" w:afterLines="50" w:after="120" w:line="360" w:lineRule="auto"/>
        <w:ind w:firstLine="560"/>
        <w:jc w:val="left"/>
        <w:rPr>
          <w:rFonts w:ascii="仿宋" w:hAnsi="仿宋" w:cs="仿宋" w:hint="eastAsia"/>
          <w:color w:val="000000" w:themeColor="text1"/>
          <w:szCs w:val="28"/>
          <w:shd w:val="clear" w:color="auto" w:fill="FFFFFF"/>
          <w:lang w:eastAsia="zh-CN"/>
        </w:rPr>
      </w:pPr>
      <w:r>
        <w:rPr>
          <w:rFonts w:ascii="仿宋" w:hAnsi="仿宋" w:cs="仿宋" w:hint="eastAsia"/>
          <w:color w:val="000000" w:themeColor="text1"/>
          <w:szCs w:val="28"/>
          <w:shd w:val="clear" w:color="auto" w:fill="FFFFFF"/>
          <w:lang w:eastAsia="zh-CN"/>
        </w:rPr>
        <w:t>2.享受增值税加计抵减政策的集成电路企业提交材料明细表.pdf</w:t>
      </w:r>
    </w:p>
    <w:p w14:paraId="53FEE649" w14:textId="77777777" w:rsidR="003E4FA5" w:rsidRDefault="00000000">
      <w:pPr>
        <w:spacing w:beforeLines="50" w:before="120" w:afterLines="50" w:after="120" w:line="360" w:lineRule="auto"/>
        <w:ind w:firstLine="560"/>
        <w:jc w:val="left"/>
        <w:rPr>
          <w:rFonts w:ascii="仿宋" w:hAnsi="仿宋" w:cs="仿宋" w:hint="eastAsia"/>
          <w:color w:val="000000" w:themeColor="text1"/>
          <w:szCs w:val="28"/>
          <w:shd w:val="clear" w:color="auto" w:fill="FFFFFF"/>
          <w:lang w:eastAsia="zh-CN"/>
        </w:rPr>
      </w:pPr>
      <w:r>
        <w:rPr>
          <w:rFonts w:ascii="仿宋" w:hAnsi="仿宋" w:cs="仿宋" w:hint="eastAsia"/>
          <w:color w:val="000000" w:themeColor="text1"/>
          <w:szCs w:val="28"/>
          <w:shd w:val="clear" w:color="auto" w:fill="FFFFFF"/>
          <w:lang w:eastAsia="zh-CN"/>
        </w:rPr>
        <w:lastRenderedPageBreak/>
        <w:t>3.企业重大变化情况表.</w:t>
      </w:r>
      <w:proofErr w:type="spellStart"/>
      <w:r>
        <w:rPr>
          <w:rFonts w:ascii="仿宋" w:hAnsi="仿宋" w:cs="仿宋" w:hint="eastAsia"/>
          <w:color w:val="000000" w:themeColor="text1"/>
          <w:szCs w:val="28"/>
          <w:shd w:val="clear" w:color="auto" w:fill="FFFFFF"/>
          <w:lang w:eastAsia="zh-CN"/>
        </w:rPr>
        <w:t>wps</w:t>
      </w:r>
      <w:proofErr w:type="spellEnd"/>
    </w:p>
    <w:p w14:paraId="74D55655" w14:textId="77777777" w:rsidR="003E4FA5" w:rsidRDefault="00000000">
      <w:pPr>
        <w:spacing w:beforeLines="50" w:before="120" w:afterLines="50" w:after="120" w:line="360" w:lineRule="auto"/>
        <w:ind w:firstLineChars="2200" w:firstLine="6160"/>
        <w:jc w:val="left"/>
        <w:rPr>
          <w:rFonts w:ascii="仿宋" w:hAnsi="仿宋" w:cs="仿宋" w:hint="eastAsia"/>
          <w:color w:val="000000" w:themeColor="text1"/>
          <w:szCs w:val="28"/>
          <w:shd w:val="clear" w:color="auto" w:fill="FFFFFF"/>
          <w:lang w:eastAsia="zh-CN"/>
        </w:rPr>
      </w:pPr>
      <w:r>
        <w:rPr>
          <w:rFonts w:ascii="仿宋" w:hAnsi="仿宋" w:cs="仿宋" w:hint="eastAsia"/>
          <w:color w:val="000000" w:themeColor="text1"/>
          <w:szCs w:val="28"/>
          <w:shd w:val="clear" w:color="auto" w:fill="FFFFFF"/>
          <w:lang w:eastAsia="zh-CN"/>
        </w:rPr>
        <w:t>工业和信息化部</w:t>
      </w:r>
    </w:p>
    <w:p w14:paraId="375DF696" w14:textId="77777777" w:rsidR="003E4FA5" w:rsidRDefault="00000000">
      <w:pPr>
        <w:spacing w:beforeLines="50" w:before="120" w:afterLines="50" w:after="120" w:line="360" w:lineRule="auto"/>
        <w:ind w:firstLineChars="2200" w:firstLine="6160"/>
        <w:jc w:val="left"/>
        <w:rPr>
          <w:rFonts w:ascii="仿宋" w:hAnsi="仿宋" w:cs="仿宋" w:hint="eastAsia"/>
          <w:color w:val="000000" w:themeColor="text1"/>
          <w:szCs w:val="28"/>
          <w:shd w:val="clear" w:color="auto" w:fill="FFFFFF"/>
          <w:lang w:eastAsia="zh-CN"/>
        </w:rPr>
      </w:pPr>
      <w:r>
        <w:rPr>
          <w:rFonts w:ascii="仿宋" w:hAnsi="仿宋" w:cs="仿宋" w:hint="eastAsia"/>
          <w:color w:val="000000" w:themeColor="text1"/>
          <w:szCs w:val="28"/>
          <w:shd w:val="clear" w:color="auto" w:fill="FFFFFF"/>
          <w:lang w:eastAsia="zh-CN"/>
        </w:rPr>
        <w:t>国家发展改革委</w:t>
      </w:r>
    </w:p>
    <w:p w14:paraId="2AC9AE23" w14:textId="77777777" w:rsidR="003E4FA5" w:rsidRDefault="00000000">
      <w:pPr>
        <w:spacing w:beforeLines="50" w:before="120" w:afterLines="50" w:after="120" w:line="360" w:lineRule="auto"/>
        <w:ind w:firstLineChars="2200" w:firstLine="6160"/>
        <w:jc w:val="left"/>
        <w:rPr>
          <w:rFonts w:ascii="仿宋" w:hAnsi="仿宋" w:cs="仿宋" w:hint="eastAsia"/>
          <w:color w:val="000000" w:themeColor="text1"/>
          <w:szCs w:val="28"/>
          <w:shd w:val="clear" w:color="auto" w:fill="FFFFFF"/>
          <w:lang w:eastAsia="zh-CN"/>
        </w:rPr>
      </w:pPr>
      <w:r>
        <w:rPr>
          <w:rFonts w:ascii="仿宋" w:hAnsi="仿宋" w:cs="仿宋" w:hint="eastAsia"/>
          <w:color w:val="000000" w:themeColor="text1"/>
          <w:szCs w:val="28"/>
          <w:shd w:val="clear" w:color="auto" w:fill="FFFFFF"/>
          <w:lang w:eastAsia="zh-CN"/>
        </w:rPr>
        <w:t>财政部</w:t>
      </w:r>
    </w:p>
    <w:p w14:paraId="162A3FCC" w14:textId="77777777" w:rsidR="003E4FA5" w:rsidRDefault="00000000">
      <w:pPr>
        <w:spacing w:beforeLines="50" w:before="120" w:afterLines="50" w:after="120" w:line="360" w:lineRule="auto"/>
        <w:ind w:firstLineChars="2200" w:firstLine="6160"/>
        <w:jc w:val="left"/>
        <w:rPr>
          <w:rFonts w:ascii="仿宋" w:hAnsi="仿宋" w:cs="仿宋" w:hint="eastAsia"/>
          <w:color w:val="000000" w:themeColor="text1"/>
          <w:szCs w:val="28"/>
          <w:shd w:val="clear" w:color="auto" w:fill="FFFFFF"/>
          <w:lang w:eastAsia="zh-CN"/>
        </w:rPr>
      </w:pPr>
      <w:r>
        <w:rPr>
          <w:rFonts w:ascii="仿宋" w:hAnsi="仿宋" w:cs="仿宋" w:hint="eastAsia"/>
          <w:color w:val="000000" w:themeColor="text1"/>
          <w:szCs w:val="28"/>
          <w:shd w:val="clear" w:color="auto" w:fill="FFFFFF"/>
          <w:lang w:eastAsia="zh-CN"/>
        </w:rPr>
        <w:t>税务总局</w:t>
      </w:r>
    </w:p>
    <w:p w14:paraId="6DDE28BC" w14:textId="77777777" w:rsidR="003E4FA5" w:rsidRDefault="00000000">
      <w:pPr>
        <w:spacing w:beforeLines="50" w:before="120" w:afterLines="50" w:after="120" w:line="360" w:lineRule="auto"/>
        <w:ind w:firstLineChars="2200" w:firstLine="6160"/>
        <w:jc w:val="left"/>
        <w:rPr>
          <w:rFonts w:ascii="仿宋" w:hAnsi="仿宋" w:cs="仿宋" w:hint="eastAsia"/>
          <w:color w:val="000000" w:themeColor="text1"/>
          <w:szCs w:val="28"/>
          <w:shd w:val="clear" w:color="auto" w:fill="FFFFFF"/>
          <w:lang w:eastAsia="zh-CN"/>
        </w:rPr>
      </w:pPr>
      <w:r>
        <w:rPr>
          <w:rFonts w:ascii="仿宋" w:hAnsi="仿宋" w:cs="仿宋" w:hint="eastAsia"/>
          <w:color w:val="000000" w:themeColor="text1"/>
          <w:szCs w:val="28"/>
          <w:shd w:val="clear" w:color="auto" w:fill="FFFFFF"/>
          <w:lang w:eastAsia="zh-CN"/>
        </w:rPr>
        <w:t xml:space="preserve">2026年9月29日　</w:t>
      </w:r>
    </w:p>
    <w:p w14:paraId="7ECD93E7" w14:textId="77777777" w:rsidR="003E4FA5" w:rsidRDefault="00000000">
      <w:pPr>
        <w:pStyle w:val="2"/>
        <w:spacing w:before="140" w:after="140" w:line="360" w:lineRule="auto"/>
        <w:ind w:firstLine="600"/>
        <w:rPr>
          <w:color w:val="000000" w:themeColor="text1"/>
          <w:lang w:eastAsia="zh-CN"/>
        </w:rPr>
      </w:pPr>
      <w:bookmarkStart w:id="47" w:name="_Toc20867"/>
      <w:r>
        <w:rPr>
          <w:rFonts w:hint="eastAsia"/>
          <w:color w:val="000000" w:themeColor="text1"/>
          <w:lang w:eastAsia="zh-CN"/>
        </w:rPr>
        <w:t>（四）</w:t>
      </w:r>
      <w:r>
        <w:rPr>
          <w:rFonts w:ascii="仿宋" w:hAnsi="仿宋" w:cs="仿宋" w:hint="eastAsia"/>
          <w:color w:val="000000" w:themeColor="text1"/>
          <w:lang w:eastAsia="zh-CN"/>
        </w:rPr>
        <w:t xml:space="preserve">国家税务总局关于发布《全国税务行政处罚裁量基准（2026年版）》的公告  </w:t>
      </w:r>
      <w:bookmarkEnd w:id="47"/>
      <w:r>
        <w:rPr>
          <w:rFonts w:ascii="仿宋" w:hAnsi="仿宋" w:cs="仿宋" w:hint="eastAsia"/>
          <w:color w:val="000000" w:themeColor="text1"/>
          <w:lang w:eastAsia="zh-CN"/>
        </w:rPr>
        <w:t>国家税务总局公告2026年第20号</w:t>
      </w:r>
    </w:p>
    <w:p w14:paraId="2FAFFC6E" w14:textId="77777777" w:rsidR="003E4FA5" w:rsidRDefault="00000000">
      <w:pPr>
        <w:pStyle w:val="a6"/>
        <w:spacing w:beforeLines="50" w:before="120" w:beforeAutospacing="0" w:afterLines="50" w:after="120" w:afterAutospacing="0"/>
        <w:ind w:firstLine="560"/>
        <w:jc w:val="both"/>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为树立和践行正确政绩观，助力全国统一大市场建设，维护法治公平、强化合规管理，保障纳税人缴费人合法权益，进一步规范税务行政处罚裁量权行使，根据《中华人民共和国行政处罚法》、《中华人民共和国税收征收管理法》及其实施细则、《中华人民共和国社会保险法》、《中华人民共和国发票管理办法》及其实施细则等法律、行政法规和税务部门规章，税务总局制定了《全国税务行政处罚裁量基准（2026年版）》（附件1，以下简称《裁量基准》），现予发布，有关事项公告如下：</w:t>
      </w:r>
    </w:p>
    <w:p w14:paraId="0D73D704" w14:textId="77777777" w:rsidR="003E4FA5" w:rsidRDefault="00000000">
      <w:pPr>
        <w:pStyle w:val="a6"/>
        <w:spacing w:beforeLines="50" w:before="120" w:beforeAutospacing="0" w:afterLines="50" w:after="120" w:afterAutospacing="0"/>
        <w:ind w:firstLine="560"/>
        <w:jc w:val="both"/>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一、税务机关应当依法依规实施税务行政处罚，在《裁量基准》范围内作出相应的税务行政处罚决定。</w:t>
      </w:r>
    </w:p>
    <w:p w14:paraId="300C59C5" w14:textId="77777777" w:rsidR="003E4FA5" w:rsidRDefault="00000000">
      <w:pPr>
        <w:pStyle w:val="a6"/>
        <w:spacing w:beforeLines="50" w:before="120" w:beforeAutospacing="0" w:afterLines="50" w:after="120" w:afterAutospacing="0"/>
        <w:ind w:firstLine="560"/>
        <w:jc w:val="both"/>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二、税务机关应当在税务行政处罚决定书中载明《裁量基准》的适用情况，不得单独引用《裁量基准》作为实施税务行政处罚的依据。</w:t>
      </w:r>
    </w:p>
    <w:p w14:paraId="64DC9F93" w14:textId="77777777" w:rsidR="003E4FA5" w:rsidRDefault="00000000">
      <w:pPr>
        <w:pStyle w:val="a6"/>
        <w:spacing w:beforeLines="50" w:before="120" w:beforeAutospacing="0" w:afterLines="50" w:after="120" w:afterAutospacing="0"/>
        <w:ind w:firstLine="560"/>
        <w:jc w:val="both"/>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三、税务机关应当严格按照《税务行政处罚裁量权行使规则》（国家税务总局公告2016年第78号发布，2018年第31号修改）规定，适用《裁量基准》。</w:t>
      </w:r>
    </w:p>
    <w:p w14:paraId="7EE2AF67" w14:textId="77777777" w:rsidR="003E4FA5" w:rsidRDefault="00000000">
      <w:pPr>
        <w:pStyle w:val="a6"/>
        <w:spacing w:beforeLines="50" w:before="120" w:beforeAutospacing="0" w:afterLines="50" w:after="120" w:afterAutospacing="0"/>
        <w:ind w:firstLine="560"/>
        <w:jc w:val="both"/>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（一）对符合《税务行政处罚“轻微不罚”事项清单》（附件2）规定，违法行为轻微并及时改正，没有造成危害后果的，或者具有其他法定不予处罚情形的，应当依法决定不予处罚；</w:t>
      </w:r>
    </w:p>
    <w:p w14:paraId="596FFCED" w14:textId="77777777" w:rsidR="003E4FA5" w:rsidRDefault="00000000">
      <w:pPr>
        <w:pStyle w:val="a6"/>
        <w:spacing w:beforeLines="50" w:before="120" w:beforeAutospacing="0" w:afterLines="50" w:after="120" w:afterAutospacing="0"/>
        <w:ind w:firstLine="560"/>
        <w:jc w:val="both"/>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lastRenderedPageBreak/>
        <w:t>（二）对有法定从轻、减轻处罚情形的，应当依法决定从轻、减轻处罚；</w:t>
      </w:r>
    </w:p>
    <w:p w14:paraId="3846E957" w14:textId="77777777" w:rsidR="003E4FA5" w:rsidRDefault="00000000">
      <w:pPr>
        <w:pStyle w:val="a6"/>
        <w:spacing w:beforeLines="50" w:before="120" w:beforeAutospacing="0" w:afterLines="50" w:after="120" w:afterAutospacing="0"/>
        <w:ind w:firstLine="560"/>
        <w:jc w:val="both"/>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（三）对情节复杂、争议较大、处罚较重、影响较广或者拟减轻处罚等税务行政处罚案件，应当经过集体审议决定。</w:t>
      </w:r>
    </w:p>
    <w:p w14:paraId="13726EE6" w14:textId="77777777" w:rsidR="003E4FA5" w:rsidRDefault="00000000">
      <w:pPr>
        <w:pStyle w:val="a6"/>
        <w:spacing w:beforeLines="50" w:before="120" w:beforeAutospacing="0" w:afterLines="50" w:after="120" w:afterAutospacing="0"/>
        <w:ind w:firstLine="560"/>
        <w:jc w:val="both"/>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四、税务机关行使税务行政处罚裁量权应当依法履行告知义务，依法保障纳税人缴费人申请回避、陈述申辩、要求举行听证等权利。</w:t>
      </w:r>
    </w:p>
    <w:p w14:paraId="28151B30" w14:textId="77777777" w:rsidR="003E4FA5" w:rsidRDefault="00000000">
      <w:pPr>
        <w:pStyle w:val="a6"/>
        <w:spacing w:beforeLines="50" w:before="120" w:beforeAutospacing="0" w:afterLines="50" w:after="120" w:afterAutospacing="0"/>
        <w:ind w:firstLine="560"/>
        <w:jc w:val="both"/>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五、《裁量基准》与后续新颁布实施的法律、行政法规和税务部门规章不一致的，以新颁布实施的法律、行政法规和税务部门规章为准。税务总局将依据法律、行政法规和税务部门规章的“立改废”情况，持续动态修改更新《裁量基准》，及时向社会公告。</w:t>
      </w:r>
    </w:p>
    <w:p w14:paraId="4CC0CBAA" w14:textId="77777777" w:rsidR="003E4FA5" w:rsidRDefault="00000000">
      <w:pPr>
        <w:pStyle w:val="a6"/>
        <w:spacing w:beforeLines="50" w:before="120" w:beforeAutospacing="0" w:afterLines="50" w:after="120" w:afterAutospacing="0"/>
        <w:ind w:firstLine="560"/>
        <w:jc w:val="both"/>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六、本公告自2026年11月1日起施行。各区域税务行政处罚裁量基准与本公告《裁量基准》不一致的，按照本公告《裁量基准》执行。</w:t>
      </w:r>
    </w:p>
    <w:p w14:paraId="1B5220B0" w14:textId="77777777" w:rsidR="003E4FA5" w:rsidRDefault="00000000">
      <w:pPr>
        <w:pStyle w:val="a6"/>
        <w:spacing w:beforeLines="50" w:before="120" w:beforeAutospacing="0" w:afterLines="50" w:after="120" w:afterAutospacing="0"/>
        <w:ind w:firstLine="560"/>
        <w:jc w:val="both"/>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本公告施行前发生税务违法行为、税务机关尚未对税务违法行为作出行政处罚决定的，适用税务违法行为发生时的规定，但按照本公告执行有利于纳税人缴费人的除外。</w:t>
      </w:r>
    </w:p>
    <w:p w14:paraId="38BCB0F1" w14:textId="77777777" w:rsidR="003E4FA5" w:rsidRDefault="00000000">
      <w:pPr>
        <w:pStyle w:val="a6"/>
        <w:spacing w:beforeLines="50" w:before="120" w:beforeAutospacing="0" w:afterLines="50" w:after="120" w:afterAutospacing="0"/>
        <w:ind w:firstLine="560"/>
        <w:jc w:val="both"/>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特此公告。</w:t>
      </w:r>
    </w:p>
    <w:p w14:paraId="39DCDF73" w14:textId="77777777" w:rsidR="003E4FA5" w:rsidRDefault="00000000">
      <w:pPr>
        <w:pStyle w:val="a6"/>
        <w:spacing w:beforeLines="50" w:before="120" w:beforeAutospacing="0" w:afterLines="50" w:after="120" w:afterAutospacing="0"/>
        <w:ind w:firstLine="560"/>
        <w:jc w:val="both"/>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附件：1.全国税务行政处罚裁量基准（2026年版）.</w:t>
      </w:r>
      <w:proofErr w:type="spellStart"/>
      <w:r>
        <w:rPr>
          <w:rFonts w:ascii="仿宋" w:hAnsi="仿宋" w:cs="仿宋" w:hint="eastAsia"/>
          <w:color w:val="000000" w:themeColor="text1"/>
          <w:sz w:val="28"/>
          <w:szCs w:val="28"/>
          <w:shd w:val="clear" w:color="auto" w:fill="FFFFFF"/>
        </w:rPr>
        <w:t>xls</w:t>
      </w:r>
      <w:proofErr w:type="spellEnd"/>
    </w:p>
    <w:p w14:paraId="697506B5" w14:textId="77777777" w:rsidR="003E4FA5" w:rsidRDefault="00000000">
      <w:pPr>
        <w:pStyle w:val="a6"/>
        <w:spacing w:beforeLines="50" w:before="120" w:beforeAutospacing="0" w:afterLines="50" w:after="120" w:afterAutospacing="0"/>
        <w:ind w:firstLine="560"/>
        <w:jc w:val="both"/>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 xml:space="preserve">　　　2.税务行政处罚“轻微不罚”事项清单.</w:t>
      </w:r>
      <w:proofErr w:type="spellStart"/>
      <w:r>
        <w:rPr>
          <w:rFonts w:ascii="仿宋" w:hAnsi="仿宋" w:cs="仿宋" w:hint="eastAsia"/>
          <w:color w:val="000000" w:themeColor="text1"/>
          <w:sz w:val="28"/>
          <w:szCs w:val="28"/>
          <w:shd w:val="clear" w:color="auto" w:fill="FFFFFF"/>
        </w:rPr>
        <w:t>wps</w:t>
      </w:r>
      <w:proofErr w:type="spellEnd"/>
    </w:p>
    <w:p w14:paraId="498F35FB" w14:textId="77777777" w:rsidR="003E4FA5" w:rsidRDefault="00000000">
      <w:pPr>
        <w:pStyle w:val="a6"/>
        <w:spacing w:beforeLines="50" w:before="120" w:beforeAutospacing="0" w:afterLines="50" w:after="120" w:afterAutospacing="0"/>
        <w:ind w:firstLine="560"/>
        <w:jc w:val="center"/>
        <w:rPr>
          <w:rFonts w:ascii="仿宋" w:hAnsi="仿宋" w:cs="仿宋" w:hint="eastAsia"/>
          <w:color w:val="000000" w:themeColor="text1"/>
          <w:sz w:val="28"/>
          <w:szCs w:val="28"/>
          <w:shd w:val="clear" w:color="auto" w:fill="FFFFFF"/>
        </w:rPr>
      </w:pPr>
      <w:r>
        <w:rPr>
          <w:rFonts w:ascii="仿宋" w:hAnsi="仿宋" w:cs="仿宋" w:hint="eastAsia"/>
          <w:color w:val="000000" w:themeColor="text1"/>
          <w:sz w:val="28"/>
          <w:szCs w:val="28"/>
          <w:shd w:val="clear" w:color="auto" w:fill="FFFFFF"/>
        </w:rPr>
        <w:t xml:space="preserve">                                           国家税务总局</w:t>
      </w:r>
    </w:p>
    <w:p w14:paraId="1616AB10" w14:textId="77777777" w:rsidR="003E4FA5" w:rsidRDefault="00000000">
      <w:pPr>
        <w:pStyle w:val="a6"/>
        <w:spacing w:beforeLines="50" w:before="120" w:beforeAutospacing="0" w:afterLines="50" w:after="120" w:afterAutospacing="0"/>
        <w:ind w:firstLine="560"/>
        <w:jc w:val="right"/>
        <w:rPr>
          <w:color w:val="000000" w:themeColor="text1"/>
        </w:rPr>
      </w:pPr>
      <w:r>
        <w:rPr>
          <w:rFonts w:ascii="仿宋" w:hAnsi="仿宋" w:cs="仿宋" w:hint="eastAsia"/>
          <w:color w:val="000000" w:themeColor="text1"/>
          <w:sz w:val="28"/>
          <w:szCs w:val="28"/>
          <w:shd w:val="clear" w:color="auto" w:fill="FFFFFF"/>
        </w:rPr>
        <w:t>2026年9月28日</w:t>
      </w:r>
      <w:bookmarkStart w:id="48" w:name="_Toc1712"/>
      <w:bookmarkStart w:id="49" w:name="_Toc31368"/>
      <w:bookmarkStart w:id="50" w:name="_Toc20258"/>
      <w:bookmarkStart w:id="51" w:name="_Toc26037"/>
      <w:bookmarkStart w:id="52" w:name="_Toc9834"/>
      <w:bookmarkStart w:id="53" w:name="_Toc1514"/>
      <w:bookmarkEnd w:id="39"/>
    </w:p>
    <w:p w14:paraId="7EAD4639" w14:textId="77777777" w:rsidR="003E4FA5" w:rsidRDefault="00000000">
      <w:pPr>
        <w:pStyle w:val="1"/>
        <w:spacing w:line="360" w:lineRule="auto"/>
        <w:ind w:firstLine="640"/>
        <w:rPr>
          <w:rFonts w:hint="eastAsia"/>
          <w:color w:val="000000" w:themeColor="text1"/>
        </w:rPr>
      </w:pPr>
      <w:bookmarkStart w:id="54" w:name="_Toc18572"/>
      <w:r>
        <w:rPr>
          <w:rFonts w:hint="eastAsia"/>
          <w:color w:val="000000" w:themeColor="text1"/>
        </w:rPr>
        <w:t>四、典型税案</w:t>
      </w:r>
      <w:bookmarkEnd w:id="48"/>
      <w:bookmarkEnd w:id="49"/>
      <w:bookmarkEnd w:id="50"/>
      <w:bookmarkEnd w:id="51"/>
      <w:bookmarkEnd w:id="52"/>
      <w:bookmarkEnd w:id="53"/>
      <w:bookmarkEnd w:id="54"/>
    </w:p>
    <w:p w14:paraId="586BE880" w14:textId="77777777" w:rsidR="003E4FA5" w:rsidRDefault="00000000">
      <w:pPr>
        <w:pStyle w:val="2"/>
        <w:spacing w:before="140" w:after="140"/>
        <w:ind w:firstLine="600"/>
        <w:rPr>
          <w:color w:val="000000" w:themeColor="text1"/>
          <w:lang w:eastAsia="zh-CN"/>
        </w:rPr>
      </w:pPr>
      <w:bookmarkStart w:id="55" w:name="_Toc10724"/>
      <w:r>
        <w:rPr>
          <w:rFonts w:hint="eastAsia"/>
          <w:color w:val="000000" w:themeColor="text1"/>
          <w:lang w:eastAsia="zh-CN"/>
        </w:rPr>
        <w:t>（一）</w:t>
      </w:r>
      <w:bookmarkEnd w:id="55"/>
      <w:r>
        <w:rPr>
          <w:rFonts w:hint="eastAsia"/>
          <w:color w:val="000000" w:themeColor="text1"/>
          <w:lang w:eastAsia="zh-CN"/>
        </w:rPr>
        <w:t>税务部门曝光</w:t>
      </w:r>
      <w:r>
        <w:rPr>
          <w:rFonts w:hint="eastAsia"/>
          <w:color w:val="000000" w:themeColor="text1"/>
          <w:lang w:eastAsia="zh-CN"/>
        </w:rPr>
        <w:t>5</w:t>
      </w:r>
      <w:r>
        <w:rPr>
          <w:rFonts w:hint="eastAsia"/>
          <w:color w:val="000000" w:themeColor="text1"/>
          <w:lang w:eastAsia="zh-CN"/>
        </w:rPr>
        <w:t>起涉税中介违规帮助他人偷逃税案件</w:t>
      </w:r>
    </w:p>
    <w:p w14:paraId="3EC350A4" w14:textId="77777777" w:rsidR="003E4FA5" w:rsidRDefault="00000000">
      <w:pPr>
        <w:spacing w:beforeLines="50" w:before="120" w:afterLines="50" w:after="120" w:line="480" w:lineRule="exact"/>
        <w:ind w:firstLine="560"/>
        <w:rPr>
          <w:color w:val="000000" w:themeColor="text1"/>
          <w:lang w:eastAsia="zh-CN"/>
        </w:rPr>
      </w:pPr>
      <w:r>
        <w:rPr>
          <w:rFonts w:hint="eastAsia"/>
          <w:color w:val="000000" w:themeColor="text1"/>
          <w:lang w:eastAsia="zh-CN"/>
        </w:rPr>
        <w:t>10</w:t>
      </w:r>
      <w:r>
        <w:rPr>
          <w:rFonts w:hint="eastAsia"/>
          <w:color w:val="000000" w:themeColor="text1"/>
          <w:lang w:eastAsia="zh-CN"/>
        </w:rPr>
        <w:t>月</w:t>
      </w:r>
      <w:r>
        <w:rPr>
          <w:rFonts w:hint="eastAsia"/>
          <w:color w:val="000000" w:themeColor="text1"/>
          <w:lang w:eastAsia="zh-CN"/>
        </w:rPr>
        <w:t>12</w:t>
      </w:r>
      <w:r>
        <w:rPr>
          <w:rFonts w:hint="eastAsia"/>
          <w:color w:val="000000" w:themeColor="text1"/>
          <w:lang w:eastAsia="zh-CN"/>
        </w:rPr>
        <w:t>日，安徽、贵州、广西、浙江、山东等地税务部门依法查处并曝光</w:t>
      </w:r>
      <w:r>
        <w:rPr>
          <w:rFonts w:hint="eastAsia"/>
          <w:color w:val="000000" w:themeColor="text1"/>
          <w:lang w:eastAsia="zh-CN"/>
        </w:rPr>
        <w:t>5</w:t>
      </w:r>
      <w:r>
        <w:rPr>
          <w:rFonts w:hint="eastAsia"/>
          <w:color w:val="000000" w:themeColor="text1"/>
          <w:lang w:eastAsia="zh-CN"/>
        </w:rPr>
        <w:t>起涉税中介违规帮助他人偷逃税案件。</w:t>
      </w:r>
    </w:p>
    <w:p w14:paraId="65F96AC2" w14:textId="77777777" w:rsidR="003E4FA5" w:rsidRDefault="00000000">
      <w:pPr>
        <w:spacing w:beforeLines="50" w:before="120" w:afterLines="50" w:after="120" w:line="480" w:lineRule="exact"/>
        <w:ind w:firstLine="562"/>
        <w:rPr>
          <w:color w:val="000000" w:themeColor="text1"/>
          <w:lang w:eastAsia="zh-CN"/>
        </w:rPr>
      </w:pPr>
      <w:r>
        <w:rPr>
          <w:rFonts w:hint="eastAsia"/>
          <w:b/>
          <w:bCs/>
          <w:color w:val="000000" w:themeColor="text1"/>
          <w:lang w:eastAsia="zh-CN"/>
        </w:rPr>
        <w:t>一、安徽省马鞍山市税务局依法查处涉税中介含山县宏宇会计事务所（普通合伙）及其实际控制人张大宏帮助所代理企业虚列成本造成少缴税</w:t>
      </w:r>
      <w:r>
        <w:rPr>
          <w:rFonts w:hint="eastAsia"/>
          <w:b/>
          <w:bCs/>
          <w:color w:val="000000" w:themeColor="text1"/>
          <w:lang w:eastAsia="zh-CN"/>
        </w:rPr>
        <w:lastRenderedPageBreak/>
        <w:t>款案件。</w:t>
      </w:r>
      <w:r>
        <w:rPr>
          <w:rFonts w:hint="eastAsia"/>
          <w:color w:val="000000" w:themeColor="text1"/>
          <w:lang w:eastAsia="zh-CN"/>
        </w:rPr>
        <w:t>经查，</w:t>
      </w:r>
      <w:r>
        <w:rPr>
          <w:rFonts w:hint="eastAsia"/>
          <w:color w:val="000000" w:themeColor="text1"/>
          <w:lang w:eastAsia="zh-CN"/>
        </w:rPr>
        <w:t>2022</w:t>
      </w:r>
      <w:r>
        <w:rPr>
          <w:rFonts w:hint="eastAsia"/>
          <w:color w:val="000000" w:themeColor="text1"/>
          <w:lang w:eastAsia="zh-CN"/>
        </w:rPr>
        <w:t>年至</w:t>
      </w:r>
      <w:r>
        <w:rPr>
          <w:rFonts w:hint="eastAsia"/>
          <w:color w:val="000000" w:themeColor="text1"/>
          <w:lang w:eastAsia="zh-CN"/>
        </w:rPr>
        <w:t>2024</w:t>
      </w:r>
      <w:r>
        <w:rPr>
          <w:rFonts w:hint="eastAsia"/>
          <w:color w:val="000000" w:themeColor="text1"/>
          <w:lang w:eastAsia="zh-CN"/>
        </w:rPr>
        <w:t>年，涉税中介含山县宏宇会计事务所（普通合伙）在为马鞍山云关文化创意有限公司等</w:t>
      </w:r>
      <w:r>
        <w:rPr>
          <w:rFonts w:hint="eastAsia"/>
          <w:color w:val="000000" w:themeColor="text1"/>
          <w:lang w:eastAsia="zh-CN"/>
        </w:rPr>
        <w:t>3</w:t>
      </w:r>
      <w:r>
        <w:rPr>
          <w:rFonts w:hint="eastAsia"/>
          <w:color w:val="000000" w:themeColor="text1"/>
          <w:lang w:eastAsia="zh-CN"/>
        </w:rPr>
        <w:t>户企业提供涉税服务期间，提出以虚列成本等方式帮助企业少缴税款的税收策划方案，通过编造虚假员工工资表进行企业所得税税前违规列支，造成上述</w:t>
      </w:r>
      <w:r>
        <w:rPr>
          <w:rFonts w:hint="eastAsia"/>
          <w:color w:val="000000" w:themeColor="text1"/>
          <w:lang w:eastAsia="zh-CN"/>
        </w:rPr>
        <w:t>3</w:t>
      </w:r>
      <w:r>
        <w:rPr>
          <w:rFonts w:hint="eastAsia"/>
          <w:color w:val="000000" w:themeColor="text1"/>
          <w:lang w:eastAsia="zh-CN"/>
        </w:rPr>
        <w:t>户企业少缴税款共计</w:t>
      </w:r>
      <w:r>
        <w:rPr>
          <w:rFonts w:hint="eastAsia"/>
          <w:color w:val="000000" w:themeColor="text1"/>
          <w:lang w:eastAsia="zh-CN"/>
        </w:rPr>
        <w:t>339</w:t>
      </w:r>
      <w:r>
        <w:rPr>
          <w:rFonts w:hint="eastAsia"/>
          <w:color w:val="000000" w:themeColor="text1"/>
          <w:lang w:eastAsia="zh-CN"/>
        </w:rPr>
        <w:t>万元。</w:t>
      </w:r>
      <w:r>
        <w:rPr>
          <w:rFonts w:hint="eastAsia"/>
          <w:color w:val="000000" w:themeColor="text1"/>
          <w:lang w:eastAsia="zh-CN"/>
        </w:rPr>
        <w:t>2025</w:t>
      </w:r>
      <w:r>
        <w:rPr>
          <w:rFonts w:hint="eastAsia"/>
          <w:color w:val="000000" w:themeColor="text1"/>
          <w:lang w:eastAsia="zh-CN"/>
        </w:rPr>
        <w:t>年</w:t>
      </w:r>
      <w:r>
        <w:rPr>
          <w:rFonts w:hint="eastAsia"/>
          <w:color w:val="000000" w:themeColor="text1"/>
          <w:lang w:eastAsia="zh-CN"/>
        </w:rPr>
        <w:t>12</w:t>
      </w:r>
      <w:r>
        <w:rPr>
          <w:rFonts w:hint="eastAsia"/>
          <w:color w:val="000000" w:themeColor="text1"/>
          <w:lang w:eastAsia="zh-CN"/>
        </w:rPr>
        <w:t>月，税务部门按照《中华人民共和国税收征收管理法实施细则》第九十八条，根据其所代理企业少缴税款，对含山县宏宇会计事务所（普通合伙）作出处以罚款</w:t>
      </w:r>
      <w:r>
        <w:rPr>
          <w:rFonts w:hint="eastAsia"/>
          <w:color w:val="000000" w:themeColor="text1"/>
          <w:lang w:eastAsia="zh-CN"/>
        </w:rPr>
        <w:t>203.4</w:t>
      </w:r>
      <w:r>
        <w:rPr>
          <w:rFonts w:hint="eastAsia"/>
          <w:color w:val="000000" w:themeColor="text1"/>
          <w:lang w:eastAsia="zh-CN"/>
        </w:rPr>
        <w:t>万元的处罚决定</w:t>
      </w:r>
      <w:r>
        <w:rPr>
          <w:rFonts w:hint="eastAsia"/>
          <w:color w:val="000000" w:themeColor="text1"/>
          <w:lang w:eastAsia="zh-CN"/>
        </w:rPr>
        <w:t>;</w:t>
      </w:r>
      <w:r>
        <w:rPr>
          <w:rFonts w:hint="eastAsia"/>
          <w:color w:val="000000" w:themeColor="text1"/>
          <w:lang w:eastAsia="zh-CN"/>
        </w:rPr>
        <w:t>根据涉税专业服务管理相关规定，对含山县宏宇会计事务所（普通合伙）及其实际控制人张大宏采取列为涉税服务失信主体等措施。同时，税务部门依法对其所代理的</w:t>
      </w:r>
      <w:r>
        <w:rPr>
          <w:rFonts w:hint="eastAsia"/>
          <w:color w:val="000000" w:themeColor="text1"/>
          <w:lang w:eastAsia="zh-CN"/>
        </w:rPr>
        <w:t>3</w:t>
      </w:r>
      <w:r>
        <w:rPr>
          <w:rFonts w:hint="eastAsia"/>
          <w:color w:val="000000" w:themeColor="text1"/>
          <w:lang w:eastAsia="zh-CN"/>
        </w:rPr>
        <w:t>户企业进行了处理，追征少缴税款，并加收滞纳金。目前，涉案税款、滞纳金及罚款均已入库。</w:t>
      </w:r>
    </w:p>
    <w:p w14:paraId="2C8183BF" w14:textId="77777777" w:rsidR="003E4FA5" w:rsidRDefault="00000000">
      <w:pPr>
        <w:spacing w:beforeLines="50" w:before="120" w:afterLines="50" w:after="120" w:line="480" w:lineRule="exact"/>
        <w:ind w:firstLine="562"/>
        <w:rPr>
          <w:color w:val="000000" w:themeColor="text1"/>
          <w:lang w:eastAsia="zh-CN"/>
        </w:rPr>
      </w:pPr>
      <w:r>
        <w:rPr>
          <w:rFonts w:hint="eastAsia"/>
          <w:b/>
          <w:bCs/>
          <w:color w:val="000000" w:themeColor="text1"/>
          <w:lang w:eastAsia="zh-CN"/>
        </w:rPr>
        <w:t>二、贵州省贵安新区税务局依法查处涉税中介贵安新区凯辰企业咨询服务有限公司偷税及帮助所代理企业虚假申报造成少缴税款案件。</w:t>
      </w:r>
      <w:r>
        <w:rPr>
          <w:rFonts w:hint="eastAsia"/>
          <w:color w:val="000000" w:themeColor="text1"/>
          <w:lang w:eastAsia="zh-CN"/>
        </w:rPr>
        <w:t>经查，</w:t>
      </w:r>
      <w:r>
        <w:rPr>
          <w:rFonts w:hint="eastAsia"/>
          <w:color w:val="000000" w:themeColor="text1"/>
          <w:lang w:eastAsia="zh-CN"/>
        </w:rPr>
        <w:t>2021</w:t>
      </w:r>
      <w:r>
        <w:rPr>
          <w:rFonts w:hint="eastAsia"/>
          <w:color w:val="000000" w:themeColor="text1"/>
          <w:lang w:eastAsia="zh-CN"/>
        </w:rPr>
        <w:t>年至</w:t>
      </w:r>
      <w:r>
        <w:rPr>
          <w:rFonts w:hint="eastAsia"/>
          <w:color w:val="000000" w:themeColor="text1"/>
          <w:lang w:eastAsia="zh-CN"/>
        </w:rPr>
        <w:t>2025</w:t>
      </w:r>
      <w:r>
        <w:rPr>
          <w:rFonts w:hint="eastAsia"/>
          <w:color w:val="000000" w:themeColor="text1"/>
          <w:lang w:eastAsia="zh-CN"/>
        </w:rPr>
        <w:t>年，贵安新区凯辰企业咨询服务有限公司在为贵安新区邦大建筑工程有限公司提供涉税服务期间，帮助企业通过虚假申报等方式，造成企业少缴税款共计</w:t>
      </w:r>
      <w:r>
        <w:rPr>
          <w:rFonts w:hint="eastAsia"/>
          <w:color w:val="000000" w:themeColor="text1"/>
          <w:lang w:eastAsia="zh-CN"/>
        </w:rPr>
        <w:t>149.29</w:t>
      </w:r>
      <w:r>
        <w:rPr>
          <w:rFonts w:hint="eastAsia"/>
          <w:color w:val="000000" w:themeColor="text1"/>
          <w:lang w:eastAsia="zh-CN"/>
        </w:rPr>
        <w:t>万元；同时，贵安新区凯辰企业咨询服务有限公司通过私人账户收款隐匿收入、进行虚假纳税申报等方式，少缴增值税、企业所得税等税费款共计</w:t>
      </w:r>
      <w:r>
        <w:rPr>
          <w:rFonts w:hint="eastAsia"/>
          <w:color w:val="000000" w:themeColor="text1"/>
          <w:lang w:eastAsia="zh-CN"/>
        </w:rPr>
        <w:t>6.70</w:t>
      </w:r>
      <w:r>
        <w:rPr>
          <w:rFonts w:hint="eastAsia"/>
          <w:color w:val="000000" w:themeColor="text1"/>
          <w:lang w:eastAsia="zh-CN"/>
        </w:rPr>
        <w:t>万元。</w:t>
      </w:r>
      <w:r>
        <w:rPr>
          <w:rFonts w:hint="eastAsia"/>
          <w:color w:val="000000" w:themeColor="text1"/>
          <w:lang w:eastAsia="zh-CN"/>
        </w:rPr>
        <w:t>2026</w:t>
      </w:r>
      <w:r>
        <w:rPr>
          <w:rFonts w:hint="eastAsia"/>
          <w:color w:val="000000" w:themeColor="text1"/>
          <w:lang w:eastAsia="zh-CN"/>
        </w:rPr>
        <w:t>年</w:t>
      </w:r>
      <w:r>
        <w:rPr>
          <w:rFonts w:hint="eastAsia"/>
          <w:color w:val="000000" w:themeColor="text1"/>
          <w:lang w:eastAsia="zh-CN"/>
        </w:rPr>
        <w:t>8</w:t>
      </w:r>
      <w:r>
        <w:rPr>
          <w:rFonts w:hint="eastAsia"/>
          <w:color w:val="000000" w:themeColor="text1"/>
          <w:lang w:eastAsia="zh-CN"/>
        </w:rPr>
        <w:t>月，税务部门按照《中华人民共和国税收征收管理法实施细则》第九十八条，根据其所代理企业少缴税款，对贵安新区凯辰企业咨询服务有限公司作出处以罚款</w:t>
      </w:r>
      <w:r>
        <w:rPr>
          <w:rFonts w:hint="eastAsia"/>
          <w:color w:val="000000" w:themeColor="text1"/>
          <w:lang w:eastAsia="zh-CN"/>
        </w:rPr>
        <w:t>149.29</w:t>
      </w:r>
      <w:r>
        <w:rPr>
          <w:rFonts w:hint="eastAsia"/>
          <w:color w:val="000000" w:themeColor="text1"/>
          <w:lang w:eastAsia="zh-CN"/>
        </w:rPr>
        <w:t>万元的处罚决定；根据《中华人民共和国税收征收管理法》第六十三条，对贵安新区凯辰企业咨询服务有限公司作出追缴税费款、罚款共计</w:t>
      </w:r>
      <w:r>
        <w:rPr>
          <w:rFonts w:hint="eastAsia"/>
          <w:color w:val="000000" w:themeColor="text1"/>
          <w:lang w:eastAsia="zh-CN"/>
        </w:rPr>
        <w:t>11.41</w:t>
      </w:r>
      <w:r>
        <w:rPr>
          <w:rFonts w:hint="eastAsia"/>
          <w:color w:val="000000" w:themeColor="text1"/>
          <w:lang w:eastAsia="zh-CN"/>
        </w:rPr>
        <w:t>万元的处理处罚决定，并加收滞纳金；根据涉税专业服务管理相关规定，对贵安新区凯辰企业咨询服务有限公司及其法定代表人田凯采取列为涉税服务失信主体等措施。同时，税务部门依法对其所代理的贵安新区邦大建筑工程有限公司作出追缴税款、罚款共计</w:t>
      </w:r>
      <w:r>
        <w:rPr>
          <w:rFonts w:hint="eastAsia"/>
          <w:color w:val="000000" w:themeColor="text1"/>
          <w:lang w:eastAsia="zh-CN"/>
        </w:rPr>
        <w:t>259.22</w:t>
      </w:r>
      <w:r>
        <w:rPr>
          <w:rFonts w:hint="eastAsia"/>
          <w:color w:val="000000" w:themeColor="text1"/>
          <w:lang w:eastAsia="zh-CN"/>
        </w:rPr>
        <w:t>万元的处理处罚决定，并加收滞纳金。</w:t>
      </w:r>
    </w:p>
    <w:p w14:paraId="7FA8061B" w14:textId="77777777" w:rsidR="003E4FA5" w:rsidRDefault="00000000">
      <w:pPr>
        <w:spacing w:beforeLines="50" w:before="120" w:afterLines="50" w:after="120" w:line="480" w:lineRule="exact"/>
        <w:ind w:firstLine="562"/>
        <w:rPr>
          <w:color w:val="000000" w:themeColor="text1"/>
          <w:lang w:eastAsia="zh-CN"/>
        </w:rPr>
      </w:pPr>
      <w:r>
        <w:rPr>
          <w:rFonts w:hint="eastAsia"/>
          <w:b/>
          <w:bCs/>
          <w:color w:val="000000" w:themeColor="text1"/>
          <w:lang w:eastAsia="zh-CN"/>
        </w:rPr>
        <w:t>三、广西壮族自治区柳州市税务局依法查处涉税专业服务人员刘亚玲帮助企业虚开增值税专用发票造成少缴税款案件。</w:t>
      </w:r>
      <w:r>
        <w:rPr>
          <w:rFonts w:hint="eastAsia"/>
          <w:color w:val="000000" w:themeColor="text1"/>
          <w:lang w:eastAsia="zh-CN"/>
        </w:rPr>
        <w:t>经查，</w:t>
      </w:r>
      <w:r>
        <w:rPr>
          <w:rFonts w:hint="eastAsia"/>
          <w:color w:val="000000" w:themeColor="text1"/>
          <w:lang w:eastAsia="zh-CN"/>
        </w:rPr>
        <w:t>2019</w:t>
      </w:r>
      <w:r>
        <w:rPr>
          <w:rFonts w:hint="eastAsia"/>
          <w:color w:val="000000" w:themeColor="text1"/>
          <w:lang w:eastAsia="zh-CN"/>
        </w:rPr>
        <w:t>年至</w:t>
      </w:r>
      <w:r>
        <w:rPr>
          <w:rFonts w:hint="eastAsia"/>
          <w:color w:val="000000" w:themeColor="text1"/>
          <w:lang w:eastAsia="zh-CN"/>
        </w:rPr>
        <w:t>2022</w:t>
      </w:r>
      <w:r>
        <w:rPr>
          <w:rFonts w:hint="eastAsia"/>
          <w:color w:val="000000" w:themeColor="text1"/>
          <w:lang w:eastAsia="zh-CN"/>
        </w:rPr>
        <w:lastRenderedPageBreak/>
        <w:t>年，刘亚玲通过虚构合同、出库单，虚估未开票收入、伪造财务报表等方式，为鹿寨县锦辉木业有限责任公司虚开增值税专用发票提供便利，造成该公司少缴税款</w:t>
      </w:r>
      <w:r>
        <w:rPr>
          <w:rFonts w:hint="eastAsia"/>
          <w:color w:val="000000" w:themeColor="text1"/>
          <w:lang w:eastAsia="zh-CN"/>
        </w:rPr>
        <w:t>102.74</w:t>
      </w:r>
      <w:r>
        <w:rPr>
          <w:rFonts w:hint="eastAsia"/>
          <w:color w:val="000000" w:themeColor="text1"/>
          <w:lang w:eastAsia="zh-CN"/>
        </w:rPr>
        <w:t>万元。</w:t>
      </w:r>
      <w:r>
        <w:rPr>
          <w:rFonts w:hint="eastAsia"/>
          <w:color w:val="000000" w:themeColor="text1"/>
          <w:lang w:eastAsia="zh-CN"/>
        </w:rPr>
        <w:t>2025</w:t>
      </w:r>
      <w:r>
        <w:rPr>
          <w:rFonts w:hint="eastAsia"/>
          <w:color w:val="000000" w:themeColor="text1"/>
          <w:lang w:eastAsia="zh-CN"/>
        </w:rPr>
        <w:t>年</w:t>
      </w:r>
      <w:r>
        <w:rPr>
          <w:rFonts w:hint="eastAsia"/>
          <w:color w:val="000000" w:themeColor="text1"/>
          <w:lang w:eastAsia="zh-CN"/>
        </w:rPr>
        <w:t>11</w:t>
      </w:r>
      <w:r>
        <w:rPr>
          <w:rFonts w:hint="eastAsia"/>
          <w:color w:val="000000" w:themeColor="text1"/>
          <w:lang w:eastAsia="zh-CN"/>
        </w:rPr>
        <w:t>月，税务部门按照《中华人民共和国税收征收管理法实施细则》第九十三条，根据企业少缴税款，对刘亚玲作出处以罚款</w:t>
      </w:r>
      <w:r>
        <w:rPr>
          <w:rFonts w:hint="eastAsia"/>
          <w:color w:val="000000" w:themeColor="text1"/>
          <w:lang w:eastAsia="zh-CN"/>
        </w:rPr>
        <w:t>51.37</w:t>
      </w:r>
      <w:r>
        <w:rPr>
          <w:rFonts w:hint="eastAsia"/>
          <w:color w:val="000000" w:themeColor="text1"/>
          <w:lang w:eastAsia="zh-CN"/>
        </w:rPr>
        <w:t>万元的处罚决定；根据涉税专业服务管理相关规定，对刘亚玲采取列为涉税服务失信主体等措施。同时，依法认定鹿寨县锦辉木业有限责任公司开具的</w:t>
      </w:r>
      <w:r>
        <w:rPr>
          <w:rFonts w:hint="eastAsia"/>
          <w:color w:val="000000" w:themeColor="text1"/>
          <w:lang w:eastAsia="zh-CN"/>
        </w:rPr>
        <w:t>93</w:t>
      </w:r>
      <w:r>
        <w:rPr>
          <w:rFonts w:hint="eastAsia"/>
          <w:color w:val="000000" w:themeColor="text1"/>
          <w:lang w:eastAsia="zh-CN"/>
        </w:rPr>
        <w:t>份增值税专用发票为虚开，对不符合增值税抵扣要求的进项税额予以转出，并对该公司作出追征少缴税款</w:t>
      </w:r>
      <w:r>
        <w:rPr>
          <w:rFonts w:hint="eastAsia"/>
          <w:color w:val="000000" w:themeColor="text1"/>
          <w:lang w:eastAsia="zh-CN"/>
        </w:rPr>
        <w:t>102.74</w:t>
      </w:r>
      <w:r>
        <w:rPr>
          <w:rFonts w:hint="eastAsia"/>
          <w:color w:val="000000" w:themeColor="text1"/>
          <w:lang w:eastAsia="zh-CN"/>
        </w:rPr>
        <w:t>万元的决定。目前，公安部门已逮捕锦辉木业实际控制人闻军军，并将该案移送检察机关审查起诉。同时，税务部门对下游接受虚开发票企业依法依规进行处理。</w:t>
      </w:r>
    </w:p>
    <w:p w14:paraId="6BFF4433" w14:textId="77777777" w:rsidR="003E4FA5" w:rsidRDefault="00000000">
      <w:pPr>
        <w:spacing w:beforeLines="50" w:before="120" w:afterLines="50" w:after="120" w:line="480" w:lineRule="exact"/>
        <w:ind w:firstLine="562"/>
        <w:rPr>
          <w:color w:val="000000" w:themeColor="text1"/>
          <w:lang w:eastAsia="zh-CN"/>
        </w:rPr>
      </w:pPr>
      <w:r>
        <w:rPr>
          <w:rFonts w:hint="eastAsia"/>
          <w:b/>
          <w:bCs/>
          <w:color w:val="000000" w:themeColor="text1"/>
          <w:lang w:eastAsia="zh-CN"/>
        </w:rPr>
        <w:t>四、浙江省杭州市税务局依法查处涉税中介浙江众税标体心科技服务有限公司帮助所代理企业违规享受税收优惠导致少缴税款案件。</w:t>
      </w:r>
      <w:r>
        <w:rPr>
          <w:rFonts w:hint="eastAsia"/>
          <w:color w:val="000000" w:themeColor="text1"/>
          <w:lang w:eastAsia="zh-CN"/>
        </w:rPr>
        <w:t>经查，</w:t>
      </w:r>
      <w:r>
        <w:rPr>
          <w:rFonts w:hint="eastAsia"/>
          <w:color w:val="000000" w:themeColor="text1"/>
          <w:lang w:eastAsia="zh-CN"/>
        </w:rPr>
        <w:t>2022</w:t>
      </w:r>
      <w:r>
        <w:rPr>
          <w:rFonts w:hint="eastAsia"/>
          <w:color w:val="000000" w:themeColor="text1"/>
          <w:lang w:eastAsia="zh-CN"/>
        </w:rPr>
        <w:t>年，浙江众税标体心科技服务有限公司在为浙江大合检测有限公司提供涉税服务过程中，协助企业违规进行税前列支并享受加计扣除税收优惠政策，造成企业少缴税款</w:t>
      </w:r>
      <w:r>
        <w:rPr>
          <w:rFonts w:hint="eastAsia"/>
          <w:color w:val="000000" w:themeColor="text1"/>
          <w:lang w:eastAsia="zh-CN"/>
        </w:rPr>
        <w:t>90.46</w:t>
      </w:r>
      <w:r>
        <w:rPr>
          <w:rFonts w:hint="eastAsia"/>
          <w:color w:val="000000" w:themeColor="text1"/>
          <w:lang w:eastAsia="zh-CN"/>
        </w:rPr>
        <w:t>万元。</w:t>
      </w:r>
      <w:r>
        <w:rPr>
          <w:rFonts w:hint="eastAsia"/>
          <w:color w:val="000000" w:themeColor="text1"/>
          <w:lang w:eastAsia="zh-CN"/>
        </w:rPr>
        <w:t>2025</w:t>
      </w:r>
      <w:r>
        <w:rPr>
          <w:rFonts w:hint="eastAsia"/>
          <w:color w:val="000000" w:themeColor="text1"/>
          <w:lang w:eastAsia="zh-CN"/>
        </w:rPr>
        <w:t>年</w:t>
      </w:r>
      <w:r>
        <w:rPr>
          <w:rFonts w:hint="eastAsia"/>
          <w:color w:val="000000" w:themeColor="text1"/>
          <w:lang w:eastAsia="zh-CN"/>
        </w:rPr>
        <w:t>12</w:t>
      </w:r>
      <w:r>
        <w:rPr>
          <w:rFonts w:hint="eastAsia"/>
          <w:color w:val="000000" w:themeColor="text1"/>
          <w:lang w:eastAsia="zh-CN"/>
        </w:rPr>
        <w:t>月，税务部门按照《中华人民共和国税收征收管理法实施细则》第九十八条，根据其所代理企业少缴税款，对浙江众税标体心科技服务有限公司作出处以罚款</w:t>
      </w:r>
      <w:r>
        <w:rPr>
          <w:rFonts w:hint="eastAsia"/>
          <w:color w:val="000000" w:themeColor="text1"/>
          <w:lang w:eastAsia="zh-CN"/>
        </w:rPr>
        <w:t>45.23</w:t>
      </w:r>
      <w:r>
        <w:rPr>
          <w:rFonts w:hint="eastAsia"/>
          <w:color w:val="000000" w:themeColor="text1"/>
          <w:lang w:eastAsia="zh-CN"/>
        </w:rPr>
        <w:t>万元的处罚决定；根据《中华人民共和国税收征收管理法》第六十四条，对浙江众税标体心科技服务有限公司注册小规模主体违规拆分收入、编造虚假计税依据的行为作出处罚款</w:t>
      </w:r>
      <w:r>
        <w:rPr>
          <w:rFonts w:hint="eastAsia"/>
          <w:color w:val="000000" w:themeColor="text1"/>
          <w:lang w:eastAsia="zh-CN"/>
        </w:rPr>
        <w:t>5</w:t>
      </w:r>
      <w:r>
        <w:rPr>
          <w:rFonts w:hint="eastAsia"/>
          <w:color w:val="000000" w:themeColor="text1"/>
          <w:lang w:eastAsia="zh-CN"/>
        </w:rPr>
        <w:t>万元的处理处罚决定；根据《中华人民共和国行政处罚法》第二十八条，对浙江众税标体心科技服务有限公司作出没收违法所得</w:t>
      </w:r>
      <w:r>
        <w:rPr>
          <w:rFonts w:hint="eastAsia"/>
          <w:color w:val="000000" w:themeColor="text1"/>
          <w:lang w:eastAsia="zh-CN"/>
        </w:rPr>
        <w:t>32.8</w:t>
      </w:r>
      <w:r>
        <w:rPr>
          <w:rFonts w:hint="eastAsia"/>
          <w:color w:val="000000" w:themeColor="text1"/>
          <w:lang w:eastAsia="zh-CN"/>
        </w:rPr>
        <w:t>万元的处理决定；根据涉税专业服务管理相关规定，对浙江众税标体心科技服务有限公司及其实际控制人江东雅采取列为涉税服务失信主体等措施。同时，税务部门依法对其所代理企业浙江大合检测有限公司进行了处理处罚。目前，涉案违法所得、税费款及罚款均已追缴入库。</w:t>
      </w:r>
    </w:p>
    <w:p w14:paraId="3AE84540" w14:textId="77777777" w:rsidR="003E4FA5" w:rsidRDefault="00000000">
      <w:pPr>
        <w:spacing w:beforeLines="50" w:before="120" w:afterLines="50" w:after="120" w:line="480" w:lineRule="exact"/>
        <w:ind w:firstLine="562"/>
        <w:rPr>
          <w:color w:val="000000" w:themeColor="text1"/>
          <w:lang w:eastAsia="zh-CN"/>
        </w:rPr>
      </w:pPr>
      <w:r>
        <w:rPr>
          <w:rFonts w:hint="eastAsia"/>
          <w:b/>
          <w:bCs/>
          <w:color w:val="000000" w:themeColor="text1"/>
          <w:lang w:eastAsia="zh-CN"/>
        </w:rPr>
        <w:t>五、山东省烟台市税务局依法查处涉税中介莱州百通财务管理有限公司偷税及违规帮助企业拆分收入导致少缴税款案件。</w:t>
      </w:r>
      <w:r>
        <w:rPr>
          <w:rFonts w:hint="eastAsia"/>
          <w:color w:val="000000" w:themeColor="text1"/>
          <w:lang w:eastAsia="zh-CN"/>
        </w:rPr>
        <w:t>经查，</w:t>
      </w:r>
      <w:r>
        <w:rPr>
          <w:rFonts w:hint="eastAsia"/>
          <w:color w:val="000000" w:themeColor="text1"/>
          <w:lang w:eastAsia="zh-CN"/>
        </w:rPr>
        <w:t>2022</w:t>
      </w:r>
      <w:r>
        <w:rPr>
          <w:rFonts w:hint="eastAsia"/>
          <w:color w:val="000000" w:themeColor="text1"/>
          <w:lang w:eastAsia="zh-CN"/>
        </w:rPr>
        <w:t>年至</w:t>
      </w:r>
      <w:r>
        <w:rPr>
          <w:rFonts w:hint="eastAsia"/>
          <w:color w:val="000000" w:themeColor="text1"/>
          <w:lang w:eastAsia="zh-CN"/>
        </w:rPr>
        <w:t>2024</w:t>
      </w:r>
      <w:r>
        <w:rPr>
          <w:rFonts w:hint="eastAsia"/>
          <w:color w:val="000000" w:themeColor="text1"/>
          <w:lang w:eastAsia="zh-CN"/>
        </w:rPr>
        <w:lastRenderedPageBreak/>
        <w:t>年，莱州百通财务管理有限公司实际控制人朱启彬利用经营涉税中介机构的便利条件，帮助莱州市熙盛建材有限公司通过注册</w:t>
      </w:r>
      <w:r>
        <w:rPr>
          <w:rFonts w:hint="eastAsia"/>
          <w:color w:val="000000" w:themeColor="text1"/>
          <w:lang w:eastAsia="zh-CN"/>
        </w:rPr>
        <w:t>9</w:t>
      </w:r>
      <w:r>
        <w:rPr>
          <w:rFonts w:hint="eastAsia"/>
          <w:color w:val="000000" w:themeColor="text1"/>
          <w:lang w:eastAsia="zh-CN"/>
        </w:rPr>
        <w:t>家空壳企业，拆分收入违规享受税收优惠政策，造成其少缴税款</w:t>
      </w:r>
      <w:r>
        <w:rPr>
          <w:rFonts w:hint="eastAsia"/>
          <w:color w:val="000000" w:themeColor="text1"/>
          <w:lang w:eastAsia="zh-CN"/>
        </w:rPr>
        <w:t>60.14</w:t>
      </w:r>
      <w:r>
        <w:rPr>
          <w:rFonts w:hint="eastAsia"/>
          <w:color w:val="000000" w:themeColor="text1"/>
          <w:lang w:eastAsia="zh-CN"/>
        </w:rPr>
        <w:t>万元；同时，莱州百通财务管理有限公司通过私人账户收款隐匿收入，进行虚假纳税申报等方式，少缴增值税、企业所得税等税费款共计</w:t>
      </w:r>
      <w:r>
        <w:rPr>
          <w:rFonts w:hint="eastAsia"/>
          <w:color w:val="000000" w:themeColor="text1"/>
          <w:lang w:eastAsia="zh-CN"/>
        </w:rPr>
        <w:t>6.45</w:t>
      </w:r>
      <w:r>
        <w:rPr>
          <w:rFonts w:hint="eastAsia"/>
          <w:color w:val="000000" w:themeColor="text1"/>
          <w:lang w:eastAsia="zh-CN"/>
        </w:rPr>
        <w:t>万元。</w:t>
      </w:r>
      <w:r>
        <w:rPr>
          <w:rFonts w:hint="eastAsia"/>
          <w:color w:val="000000" w:themeColor="text1"/>
          <w:lang w:eastAsia="zh-CN"/>
        </w:rPr>
        <w:t>2026</w:t>
      </w:r>
      <w:r>
        <w:rPr>
          <w:rFonts w:hint="eastAsia"/>
          <w:color w:val="000000" w:themeColor="text1"/>
          <w:lang w:eastAsia="zh-CN"/>
        </w:rPr>
        <w:t>年</w:t>
      </w:r>
      <w:r>
        <w:rPr>
          <w:rFonts w:hint="eastAsia"/>
          <w:color w:val="000000" w:themeColor="text1"/>
          <w:lang w:eastAsia="zh-CN"/>
        </w:rPr>
        <w:t>4</w:t>
      </w:r>
      <w:r>
        <w:rPr>
          <w:rFonts w:hint="eastAsia"/>
          <w:color w:val="000000" w:themeColor="text1"/>
          <w:lang w:eastAsia="zh-CN"/>
        </w:rPr>
        <w:t>月，税务部门根据《中华人民共和国税收征收管理法》第六十三条、《中华人民共和国税收征收管理法实施细则》第九十三条，对莱州百通财务管理有限公司作出没收违法所得、追缴税费款、加收滞纳金并处罚款共计</w:t>
      </w:r>
      <w:r>
        <w:rPr>
          <w:rFonts w:hint="eastAsia"/>
          <w:color w:val="000000" w:themeColor="text1"/>
          <w:lang w:eastAsia="zh-CN"/>
        </w:rPr>
        <w:t>70.51</w:t>
      </w:r>
      <w:r>
        <w:rPr>
          <w:rFonts w:hint="eastAsia"/>
          <w:color w:val="000000" w:themeColor="text1"/>
          <w:lang w:eastAsia="zh-CN"/>
        </w:rPr>
        <w:t>万元的处理处罚决定，对莱州市熙盛建材有限公司作出追缴税费款、加收滞纳金并处罚款共计</w:t>
      </w:r>
      <w:r>
        <w:rPr>
          <w:rFonts w:hint="eastAsia"/>
          <w:color w:val="000000" w:themeColor="text1"/>
          <w:lang w:eastAsia="zh-CN"/>
        </w:rPr>
        <w:t>116.38</w:t>
      </w:r>
      <w:r>
        <w:rPr>
          <w:rFonts w:hint="eastAsia"/>
          <w:color w:val="000000" w:themeColor="text1"/>
          <w:lang w:eastAsia="zh-CN"/>
        </w:rPr>
        <w:t>万元的处理处罚决定；根据涉税专业服务管理相关规定，对莱州百通财务管理有限公司及其实际控制人朱启彬采取列为涉税服务失信主体等措施。目前，涉案违法所得、税费款、滞纳金及罚款均已追缴入库。</w:t>
      </w:r>
    </w:p>
    <w:p w14:paraId="7BB5714D" w14:textId="77777777" w:rsidR="003E4FA5" w:rsidRDefault="00000000">
      <w:pPr>
        <w:spacing w:beforeLines="50" w:before="120" w:afterLines="50" w:after="120" w:line="480" w:lineRule="exact"/>
        <w:ind w:firstLine="560"/>
        <w:rPr>
          <w:color w:val="000000" w:themeColor="text1"/>
          <w:lang w:eastAsia="zh-CN"/>
        </w:rPr>
      </w:pPr>
      <w:r>
        <w:rPr>
          <w:rFonts w:hint="eastAsia"/>
          <w:color w:val="000000" w:themeColor="text1"/>
          <w:lang w:eastAsia="zh-CN"/>
        </w:rPr>
        <w:t>作为连接税务部门和经营主体的重要桥梁，涉税中介既是涉税服务的供给方，也是税收法治建设的参与者。《中华人民共和国税收征收管理法实施细则》第九十三条针对由纳税人自己申报办税，涉税中介为纳税人非法提供发票、虚假证明等便利导致税款流失的行为，第九十八条聚焦由涉税中介为纳税人代理申报办税等业务，因涉税中介违规造成纳税人少缴税款的情形，分别明确了涉税中介违法执业的法律责任。涉税中介及其从业人员应恪守合规诚信执业准则，筑牢风险防控防线，依托专业能力服务经营主体长期健康发展。税务部门将持续加强涉税专业服务行业监管，依法查处涉税中介违法违规行为，切实维护公平公正的市场竞争秩序，保障国家税收安全和广大纳税人缴费人合法权益。</w:t>
      </w:r>
    </w:p>
    <w:p w14:paraId="7AC89AFE" w14:textId="77777777" w:rsidR="003E4FA5" w:rsidRDefault="00000000">
      <w:pPr>
        <w:spacing w:beforeLines="50" w:before="120" w:afterLines="50" w:after="120" w:line="480" w:lineRule="exact"/>
        <w:ind w:firstLine="560"/>
        <w:jc w:val="right"/>
        <w:rPr>
          <w:color w:val="000000" w:themeColor="text1"/>
          <w:lang w:eastAsia="zh-CN"/>
        </w:rPr>
      </w:pPr>
      <w:r>
        <w:rPr>
          <w:rFonts w:hint="eastAsia"/>
          <w:color w:val="000000" w:themeColor="text1"/>
          <w:lang w:eastAsia="zh-CN"/>
        </w:rPr>
        <w:t>来源：国家税务总局</w:t>
      </w:r>
      <w:r>
        <w:rPr>
          <w:rFonts w:hint="eastAsia"/>
          <w:color w:val="000000" w:themeColor="text1"/>
          <w:lang w:eastAsia="zh-CN"/>
        </w:rPr>
        <w:t>-</w:t>
      </w:r>
      <w:r>
        <w:rPr>
          <w:rFonts w:hint="eastAsia"/>
          <w:color w:val="000000" w:themeColor="text1"/>
          <w:lang w:eastAsia="zh-CN"/>
        </w:rPr>
        <w:t>税案通报（国家税务总局办公厅）</w:t>
      </w:r>
    </w:p>
    <w:p w14:paraId="7CEF0492" w14:textId="77777777" w:rsidR="003E4FA5" w:rsidRDefault="00000000">
      <w:pPr>
        <w:spacing w:beforeLines="50" w:before="120" w:afterLines="50" w:after="120" w:line="480" w:lineRule="exact"/>
        <w:ind w:firstLine="560"/>
        <w:jc w:val="center"/>
        <w:rPr>
          <w:color w:val="000000" w:themeColor="text1"/>
          <w:lang w:eastAsia="zh-CN"/>
        </w:rPr>
      </w:pPr>
      <w:r>
        <w:rPr>
          <w:rFonts w:hint="eastAsia"/>
          <w:color w:val="000000" w:themeColor="text1"/>
          <w:lang w:eastAsia="zh-CN"/>
        </w:rPr>
        <w:t>时间：</w:t>
      </w:r>
      <w:r>
        <w:rPr>
          <w:rFonts w:hint="eastAsia"/>
          <w:color w:val="000000" w:themeColor="text1"/>
          <w:lang w:eastAsia="zh-CN"/>
        </w:rPr>
        <w:t>2026-10-12</w:t>
      </w:r>
    </w:p>
    <w:p w14:paraId="788F5071" w14:textId="77777777" w:rsidR="003E4FA5" w:rsidRDefault="00000000">
      <w:pPr>
        <w:wordWrap w:val="0"/>
        <w:spacing w:beforeLines="50" w:before="120" w:afterLines="50" w:after="120" w:line="480" w:lineRule="exact"/>
        <w:ind w:firstLineChars="0" w:firstLine="0"/>
        <w:rPr>
          <w:color w:val="000000" w:themeColor="text1"/>
          <w:lang w:eastAsia="zh-CN"/>
        </w:rPr>
      </w:pPr>
      <w:r>
        <w:rPr>
          <w:rFonts w:hint="eastAsia"/>
          <w:color w:val="000000" w:themeColor="text1"/>
          <w:lang w:eastAsia="zh-CN"/>
        </w:rPr>
        <w:t>链接：</w:t>
      </w:r>
      <w:r>
        <w:rPr>
          <w:rFonts w:hint="eastAsia"/>
          <w:color w:val="000000" w:themeColor="text1"/>
          <w:lang w:eastAsia="zh-CN"/>
        </w:rPr>
        <w:t>https://www.chinatax.gov.cn/chinatax/n810219/c102025/c5252882/content.html</w:t>
      </w:r>
    </w:p>
    <w:p w14:paraId="2D0E058C" w14:textId="77777777" w:rsidR="003E4FA5" w:rsidRDefault="00000000">
      <w:pPr>
        <w:pStyle w:val="2"/>
        <w:keepNext w:val="0"/>
        <w:spacing w:beforeLines="50" w:before="120" w:afterLines="50" w:after="120" w:line="360" w:lineRule="auto"/>
        <w:ind w:firstLine="600"/>
        <w:rPr>
          <w:color w:val="000000" w:themeColor="text1"/>
          <w:lang w:eastAsia="zh-CN"/>
        </w:rPr>
      </w:pPr>
      <w:bookmarkStart w:id="56" w:name="_Toc28643"/>
      <w:r>
        <w:rPr>
          <w:rFonts w:hint="eastAsia"/>
          <w:color w:val="000000" w:themeColor="text1"/>
          <w:lang w:eastAsia="zh-CN"/>
        </w:rPr>
        <w:lastRenderedPageBreak/>
        <w:t>（二）</w:t>
      </w:r>
      <w:bookmarkEnd w:id="56"/>
      <w:r>
        <w:rPr>
          <w:rFonts w:hint="eastAsia"/>
          <w:color w:val="000000" w:themeColor="text1"/>
          <w:lang w:eastAsia="zh-CN"/>
        </w:rPr>
        <w:t>藏在大额转账资金下的“筹划”真相——揭秘涉税中介莱州百通财务管理有限公司偷税及违规帮助企业拆分收入导致少缴税款案件</w:t>
      </w:r>
    </w:p>
    <w:p w14:paraId="0DF7A780" w14:textId="77777777" w:rsidR="003E4FA5" w:rsidRDefault="00000000">
      <w:pPr>
        <w:spacing w:beforeLines="50" w:before="120" w:afterLines="50" w:after="120"/>
        <w:ind w:firstLine="560"/>
        <w:rPr>
          <w:color w:val="000000" w:themeColor="text1"/>
          <w:lang w:eastAsia="zh-CN"/>
        </w:rPr>
      </w:pPr>
      <w:r>
        <w:rPr>
          <w:rFonts w:hint="eastAsia"/>
          <w:color w:val="000000" w:themeColor="text1"/>
          <w:lang w:eastAsia="zh-CN"/>
        </w:rPr>
        <w:t>近期，国家税务总局烟台市税务局第二稽查局根据税收大数据分析发现的线索，依法查处涉税中介莱州百通财务管理有限公司（以下简称“百通公司”）私户收款隐匿收入偷税及违规帮助企业拆分收入导致少缴税款案件。经查，</w:t>
      </w:r>
      <w:r>
        <w:rPr>
          <w:rFonts w:hint="eastAsia"/>
          <w:color w:val="000000" w:themeColor="text1"/>
          <w:lang w:eastAsia="zh-CN"/>
        </w:rPr>
        <w:t>2022</w:t>
      </w:r>
      <w:r>
        <w:rPr>
          <w:rFonts w:hint="eastAsia"/>
          <w:color w:val="000000" w:themeColor="text1"/>
          <w:lang w:eastAsia="zh-CN"/>
        </w:rPr>
        <w:t>年至</w:t>
      </w:r>
      <w:r>
        <w:rPr>
          <w:rFonts w:hint="eastAsia"/>
          <w:color w:val="000000" w:themeColor="text1"/>
          <w:lang w:eastAsia="zh-CN"/>
        </w:rPr>
        <w:t>2024</w:t>
      </w:r>
      <w:r>
        <w:rPr>
          <w:rFonts w:hint="eastAsia"/>
          <w:color w:val="000000" w:themeColor="text1"/>
          <w:lang w:eastAsia="zh-CN"/>
        </w:rPr>
        <w:t>年，百通公司实际控制人朱启彬利用经营涉税中介机构的便利条件，帮助莱州市熙盛建材有限公司（以下简称“熙盛建材”）通过注册</w:t>
      </w:r>
      <w:r>
        <w:rPr>
          <w:rFonts w:hint="eastAsia"/>
          <w:color w:val="000000" w:themeColor="text1"/>
          <w:lang w:eastAsia="zh-CN"/>
        </w:rPr>
        <w:t>9</w:t>
      </w:r>
      <w:r>
        <w:rPr>
          <w:rFonts w:hint="eastAsia"/>
          <w:color w:val="000000" w:themeColor="text1"/>
          <w:lang w:eastAsia="zh-CN"/>
        </w:rPr>
        <w:t>家空壳企业，拆分收入违规享受税收优惠政策，造成其少缴税款</w:t>
      </w:r>
      <w:r>
        <w:rPr>
          <w:rFonts w:hint="eastAsia"/>
          <w:color w:val="000000" w:themeColor="text1"/>
          <w:lang w:eastAsia="zh-CN"/>
        </w:rPr>
        <w:t>60.14</w:t>
      </w:r>
      <w:r>
        <w:rPr>
          <w:rFonts w:hint="eastAsia"/>
          <w:color w:val="000000" w:themeColor="text1"/>
          <w:lang w:eastAsia="zh-CN"/>
        </w:rPr>
        <w:t>万元；同时，百通公司通过私人账户收款隐匿收入，进行虚假纳税申报等方式，少缴增值税、企业所得税等税费款共计</w:t>
      </w:r>
      <w:r>
        <w:rPr>
          <w:rFonts w:hint="eastAsia"/>
          <w:color w:val="000000" w:themeColor="text1"/>
          <w:lang w:eastAsia="zh-CN"/>
        </w:rPr>
        <w:t>6.45</w:t>
      </w:r>
      <w:r>
        <w:rPr>
          <w:rFonts w:hint="eastAsia"/>
          <w:color w:val="000000" w:themeColor="text1"/>
          <w:lang w:eastAsia="zh-CN"/>
        </w:rPr>
        <w:t>万元。</w:t>
      </w:r>
      <w:r>
        <w:rPr>
          <w:rFonts w:hint="eastAsia"/>
          <w:color w:val="000000" w:themeColor="text1"/>
          <w:lang w:eastAsia="zh-CN"/>
        </w:rPr>
        <w:t>2026</w:t>
      </w:r>
      <w:r>
        <w:rPr>
          <w:rFonts w:hint="eastAsia"/>
          <w:color w:val="000000" w:themeColor="text1"/>
          <w:lang w:eastAsia="zh-CN"/>
        </w:rPr>
        <w:t>年</w:t>
      </w:r>
      <w:r>
        <w:rPr>
          <w:rFonts w:hint="eastAsia"/>
          <w:color w:val="000000" w:themeColor="text1"/>
          <w:lang w:eastAsia="zh-CN"/>
        </w:rPr>
        <w:t>4</w:t>
      </w:r>
      <w:r>
        <w:rPr>
          <w:rFonts w:hint="eastAsia"/>
          <w:color w:val="000000" w:themeColor="text1"/>
          <w:lang w:eastAsia="zh-CN"/>
        </w:rPr>
        <w:t>月，税务部门根据《中华人民共和国税收征收管理法》第六十三条、《中华人民共和国税收征收管理法实施细则》第九十三条，对莱州百通财务管理有限公司作出没收违法所得、追缴税费款、加收滞纳金并处罚款共计</w:t>
      </w:r>
      <w:r>
        <w:rPr>
          <w:rFonts w:hint="eastAsia"/>
          <w:color w:val="000000" w:themeColor="text1"/>
          <w:lang w:eastAsia="zh-CN"/>
        </w:rPr>
        <w:t>70.51</w:t>
      </w:r>
      <w:r>
        <w:rPr>
          <w:rFonts w:hint="eastAsia"/>
          <w:color w:val="000000" w:themeColor="text1"/>
          <w:lang w:eastAsia="zh-CN"/>
        </w:rPr>
        <w:t>万元的处理处罚决定，对莱州市熙盛建材有限公司作出追缴税费款、加收滞纳金并处罚款共计</w:t>
      </w:r>
      <w:r>
        <w:rPr>
          <w:rFonts w:hint="eastAsia"/>
          <w:color w:val="000000" w:themeColor="text1"/>
          <w:lang w:eastAsia="zh-CN"/>
        </w:rPr>
        <w:t>116.38</w:t>
      </w:r>
      <w:r>
        <w:rPr>
          <w:rFonts w:hint="eastAsia"/>
          <w:color w:val="000000" w:themeColor="text1"/>
          <w:lang w:eastAsia="zh-CN"/>
        </w:rPr>
        <w:t>万元的处理处罚决定；根据涉税专业服务管理相关规定，对莱州百通财务管理有限公司及其实际控制人朱启彬采取列为涉税服务失信主体等措施。目前，涉案违法所得、税费款、滞纳金及罚款均已追缴入库。</w:t>
      </w:r>
    </w:p>
    <w:p w14:paraId="70E19298" w14:textId="77777777" w:rsidR="003E4FA5" w:rsidRDefault="00000000">
      <w:pPr>
        <w:spacing w:beforeLines="50" w:before="120" w:afterLines="50" w:after="120"/>
        <w:ind w:firstLine="562"/>
        <w:rPr>
          <w:color w:val="000000" w:themeColor="text1"/>
          <w:lang w:eastAsia="zh-CN"/>
        </w:rPr>
      </w:pPr>
      <w:r>
        <w:rPr>
          <w:rFonts w:hint="eastAsia"/>
          <w:b/>
          <w:bCs/>
          <w:color w:val="000000" w:themeColor="text1"/>
          <w:lang w:eastAsia="zh-CN"/>
        </w:rPr>
        <w:t>代理规模上报不实</w:t>
      </w:r>
      <w:r>
        <w:rPr>
          <w:rFonts w:hint="eastAsia"/>
          <w:b/>
          <w:bCs/>
          <w:color w:val="000000" w:themeColor="text1"/>
          <w:lang w:eastAsia="zh-CN"/>
        </w:rPr>
        <w:t xml:space="preserve"> </w:t>
      </w:r>
      <w:r>
        <w:rPr>
          <w:rFonts w:hint="eastAsia"/>
          <w:b/>
          <w:bCs/>
          <w:color w:val="000000" w:themeColor="text1"/>
          <w:lang w:eastAsia="zh-CN"/>
        </w:rPr>
        <w:t>账外暗藏隐匿收入</w:t>
      </w:r>
    </w:p>
    <w:p w14:paraId="18C1BACC" w14:textId="77777777" w:rsidR="003E4FA5" w:rsidRDefault="00000000">
      <w:pPr>
        <w:spacing w:beforeLines="50" w:before="120" w:afterLines="50" w:after="120" w:line="480" w:lineRule="exact"/>
        <w:ind w:firstLine="560"/>
        <w:rPr>
          <w:color w:val="000000" w:themeColor="text1"/>
          <w:lang w:eastAsia="zh-CN"/>
        </w:rPr>
      </w:pPr>
      <w:r>
        <w:rPr>
          <w:rFonts w:hint="eastAsia"/>
          <w:color w:val="000000" w:themeColor="text1"/>
          <w:lang w:eastAsia="zh-CN"/>
        </w:rPr>
        <w:t>前期，国家税务总局烟台市税务局第二稽查局通过税收大数据分析发现，百通公司纳税申报表中，工资薪金占营业收入比例过高，不符合正常生产经营规律；结合登记注册信息比对，发现百通公司服务对象处于注销状态的比例偏高，存在涉税疑点。</w:t>
      </w:r>
    </w:p>
    <w:p w14:paraId="5B27D509" w14:textId="77777777" w:rsidR="003E4FA5" w:rsidRDefault="00000000">
      <w:pPr>
        <w:spacing w:beforeLines="50" w:before="120" w:afterLines="50" w:after="120" w:line="480" w:lineRule="exact"/>
        <w:ind w:firstLine="560"/>
        <w:rPr>
          <w:color w:val="000000" w:themeColor="text1"/>
          <w:lang w:eastAsia="zh-CN"/>
        </w:rPr>
      </w:pPr>
      <w:r>
        <w:rPr>
          <w:rFonts w:hint="eastAsia"/>
          <w:color w:val="000000" w:themeColor="text1"/>
          <w:lang w:eastAsia="zh-CN"/>
        </w:rPr>
        <w:t>为此，税务人员对百通公司进行了实地核查。核查发现，百通公司借助记账软件为企业提供代理记账服务，后台数据记载其每年实际代理市场主体超过</w:t>
      </w:r>
      <w:r>
        <w:rPr>
          <w:rFonts w:hint="eastAsia"/>
          <w:color w:val="000000" w:themeColor="text1"/>
          <w:lang w:eastAsia="zh-CN"/>
        </w:rPr>
        <w:t>2000</w:t>
      </w:r>
      <w:r>
        <w:rPr>
          <w:rFonts w:hint="eastAsia"/>
          <w:color w:val="000000" w:themeColor="text1"/>
          <w:lang w:eastAsia="zh-CN"/>
        </w:rPr>
        <w:t>户，而向税务系统报送的涉税服务协议仅</w:t>
      </w:r>
      <w:r>
        <w:rPr>
          <w:rFonts w:hint="eastAsia"/>
          <w:color w:val="000000" w:themeColor="text1"/>
          <w:lang w:eastAsia="zh-CN"/>
        </w:rPr>
        <w:t>363</w:t>
      </w:r>
      <w:r>
        <w:rPr>
          <w:rFonts w:hint="eastAsia"/>
          <w:color w:val="000000" w:themeColor="text1"/>
          <w:lang w:eastAsia="zh-CN"/>
        </w:rPr>
        <w:t>份，两者相</w:t>
      </w:r>
      <w:r>
        <w:rPr>
          <w:rFonts w:hint="eastAsia"/>
          <w:color w:val="000000" w:themeColor="text1"/>
          <w:lang w:eastAsia="zh-CN"/>
        </w:rPr>
        <w:lastRenderedPageBreak/>
        <w:t>差悬殊。上述疑点反映出百通公司可能存在虚假申报、账外隐匿收入等行为。国家税务总局烟台市税务局第二稽查局决定依法对百通公司立案检查。</w:t>
      </w:r>
    </w:p>
    <w:p w14:paraId="2224AB90" w14:textId="77777777" w:rsidR="003E4FA5" w:rsidRDefault="00000000">
      <w:pPr>
        <w:spacing w:beforeLines="50" w:before="120" w:afterLines="50" w:after="120" w:line="480" w:lineRule="exact"/>
        <w:ind w:firstLine="560"/>
        <w:rPr>
          <w:color w:val="000000" w:themeColor="text1"/>
          <w:lang w:eastAsia="zh-CN"/>
        </w:rPr>
      </w:pPr>
      <w:r>
        <w:rPr>
          <w:rFonts w:hint="eastAsia"/>
          <w:color w:val="000000" w:themeColor="text1"/>
          <w:lang w:eastAsia="zh-CN"/>
        </w:rPr>
        <w:t>检查人员依法调取百通公司对公账户、实际控制人朱启彬及部分员工的个人银行账户交易明细，并将数据与相关人员的第三方平台收付款记录进行比对。比对数据显示，百通公司对公账户中代理费进账寥寥，而朱启彬及其员工的个人银行卡、第三方平台账户却频繁收到附言为“代账费”的转账，收款金额与代理业务规模高度吻合，隐匿收入嫌疑进一步得到验证。</w:t>
      </w:r>
    </w:p>
    <w:p w14:paraId="73D67F5D" w14:textId="77777777" w:rsidR="003E4FA5" w:rsidRDefault="00000000">
      <w:pPr>
        <w:spacing w:beforeLines="50" w:before="120" w:afterLines="50" w:after="120" w:line="480" w:lineRule="exact"/>
        <w:ind w:firstLine="560"/>
        <w:rPr>
          <w:color w:val="000000" w:themeColor="text1"/>
          <w:lang w:eastAsia="zh-CN"/>
        </w:rPr>
      </w:pPr>
      <w:r>
        <w:rPr>
          <w:rFonts w:hint="eastAsia"/>
          <w:color w:val="000000" w:themeColor="text1"/>
          <w:lang w:eastAsia="zh-CN"/>
        </w:rPr>
        <w:t>同时，在梳理资金往来的过程中，来自同一账户累计</w:t>
      </w:r>
      <w:r>
        <w:rPr>
          <w:rFonts w:hint="eastAsia"/>
          <w:color w:val="000000" w:themeColor="text1"/>
          <w:lang w:eastAsia="zh-CN"/>
        </w:rPr>
        <w:t>30.03</w:t>
      </w:r>
      <w:r>
        <w:rPr>
          <w:rFonts w:hint="eastAsia"/>
          <w:color w:val="000000" w:themeColor="text1"/>
          <w:lang w:eastAsia="zh-CN"/>
        </w:rPr>
        <w:t>万元的大额转账引起了检查人员的注意：这些款项均来自一家名为熙盛建材公司的法定代表人，金额远超其他企业的年度代理费。面对检查人员的询问，朱启彬称是客户委托代缴的税款，但对税款所属期、税费种却含糊其词。为核实这些款项的真实性质，检查人员转而对付款方熙盛建材开展调查。然而熙盛建材法定代表人却称这是正常支付的手续费，双方说法明显矛盾。国家税务总局烟台市税务局第二稽查局判断熙盛建材可能同样存在涉税违法问题，决定依法对熙盛建材同步开展立案检查。</w:t>
      </w:r>
    </w:p>
    <w:p w14:paraId="06E0FAA4" w14:textId="77777777" w:rsidR="003E4FA5" w:rsidRDefault="00000000">
      <w:pPr>
        <w:spacing w:beforeLines="50" w:before="120" w:afterLines="50" w:after="120" w:line="480" w:lineRule="exact"/>
        <w:ind w:firstLine="562"/>
        <w:rPr>
          <w:color w:val="000000" w:themeColor="text1"/>
          <w:lang w:eastAsia="zh-CN"/>
        </w:rPr>
      </w:pPr>
      <w:r>
        <w:rPr>
          <w:rFonts w:hint="eastAsia"/>
          <w:b/>
          <w:bCs/>
          <w:color w:val="000000" w:themeColor="text1"/>
          <w:lang w:eastAsia="zh-CN"/>
        </w:rPr>
        <w:t>空壳企业充当“马甲”</w:t>
      </w:r>
      <w:r>
        <w:rPr>
          <w:rFonts w:hint="eastAsia"/>
          <w:b/>
          <w:bCs/>
          <w:color w:val="000000" w:themeColor="text1"/>
          <w:lang w:eastAsia="zh-CN"/>
        </w:rPr>
        <w:t xml:space="preserve"> </w:t>
      </w:r>
      <w:r>
        <w:rPr>
          <w:rFonts w:hint="eastAsia"/>
          <w:b/>
          <w:bCs/>
          <w:color w:val="000000" w:themeColor="text1"/>
          <w:lang w:eastAsia="zh-CN"/>
        </w:rPr>
        <w:t>拆分收入骗享优惠</w:t>
      </w:r>
    </w:p>
    <w:p w14:paraId="7FFC0FC2" w14:textId="77777777" w:rsidR="003E4FA5" w:rsidRDefault="00000000">
      <w:pPr>
        <w:spacing w:beforeLines="50" w:before="120" w:afterLines="50" w:after="120" w:line="480" w:lineRule="exact"/>
        <w:ind w:firstLine="560"/>
        <w:rPr>
          <w:color w:val="000000" w:themeColor="text1"/>
          <w:lang w:eastAsia="zh-CN"/>
        </w:rPr>
      </w:pPr>
      <w:r>
        <w:rPr>
          <w:rFonts w:hint="eastAsia"/>
          <w:color w:val="000000" w:themeColor="text1"/>
          <w:lang w:eastAsia="zh-CN"/>
        </w:rPr>
        <w:t>检查人员通过大数据分析发现，熙盛建材登记的经营范围为建筑材料销售、园林绿化工程设计与施工，却从未开具过与经营范围相关的发票。在随后对熙盛建材的实地核查过程中，检查人员在其经营场所发现</w:t>
      </w:r>
      <w:r>
        <w:rPr>
          <w:rFonts w:hint="eastAsia"/>
          <w:color w:val="000000" w:themeColor="text1"/>
          <w:lang w:eastAsia="zh-CN"/>
        </w:rPr>
        <w:t>9</w:t>
      </w:r>
      <w:r>
        <w:rPr>
          <w:rFonts w:hint="eastAsia"/>
          <w:color w:val="000000" w:themeColor="text1"/>
          <w:lang w:eastAsia="zh-CN"/>
        </w:rPr>
        <w:t>枚不同企业的公章，这些企业登记的经营范围与熙盛建材高度重合。办案人员对公章所属企业注册地址逐一走访，发现</w:t>
      </w:r>
      <w:r>
        <w:rPr>
          <w:rFonts w:hint="eastAsia"/>
          <w:color w:val="000000" w:themeColor="text1"/>
          <w:lang w:eastAsia="zh-CN"/>
        </w:rPr>
        <w:t>9</w:t>
      </w:r>
      <w:r>
        <w:rPr>
          <w:rFonts w:hint="eastAsia"/>
          <w:color w:val="000000" w:themeColor="text1"/>
          <w:lang w:eastAsia="zh-CN"/>
        </w:rPr>
        <w:t>家企业均无厂房、货物、人员等实际经营痕迹。此外，</w:t>
      </w:r>
      <w:r>
        <w:rPr>
          <w:rFonts w:hint="eastAsia"/>
          <w:color w:val="000000" w:themeColor="text1"/>
          <w:lang w:eastAsia="zh-CN"/>
        </w:rPr>
        <w:t>9</w:t>
      </w:r>
      <w:r>
        <w:rPr>
          <w:rFonts w:hint="eastAsia"/>
          <w:color w:val="000000" w:themeColor="text1"/>
          <w:lang w:eastAsia="zh-CN"/>
        </w:rPr>
        <w:t>家企业法定代表人、财务负责人的名字，均出现在熙盛建材的工资发放明细中。据此，检查人员判断这</w:t>
      </w:r>
      <w:r>
        <w:rPr>
          <w:rFonts w:hint="eastAsia"/>
          <w:color w:val="000000" w:themeColor="text1"/>
          <w:lang w:eastAsia="zh-CN"/>
        </w:rPr>
        <w:t>9</w:t>
      </w:r>
      <w:r>
        <w:rPr>
          <w:rFonts w:hint="eastAsia"/>
          <w:color w:val="000000" w:themeColor="text1"/>
          <w:lang w:eastAsia="zh-CN"/>
        </w:rPr>
        <w:t>家企业极有可能是空壳企业。</w:t>
      </w:r>
    </w:p>
    <w:p w14:paraId="03F58FCC" w14:textId="77777777" w:rsidR="003E4FA5" w:rsidRDefault="00000000">
      <w:pPr>
        <w:spacing w:beforeLines="50" w:before="120" w:afterLines="50" w:after="120" w:line="480" w:lineRule="exact"/>
        <w:ind w:firstLine="560"/>
        <w:rPr>
          <w:color w:val="000000" w:themeColor="text1"/>
          <w:lang w:eastAsia="zh-CN"/>
        </w:rPr>
      </w:pPr>
      <w:r>
        <w:rPr>
          <w:rFonts w:hint="eastAsia"/>
          <w:color w:val="000000" w:themeColor="text1"/>
          <w:lang w:eastAsia="zh-CN"/>
        </w:rPr>
        <w:t>为查明真相，检查人员依法对熙盛建材的员工展开问询。问询过程中，熙盛建材员工说出了百通公司帮助熙盛建材注册</w:t>
      </w:r>
      <w:r>
        <w:rPr>
          <w:rFonts w:hint="eastAsia"/>
          <w:color w:val="000000" w:themeColor="text1"/>
          <w:lang w:eastAsia="zh-CN"/>
        </w:rPr>
        <w:t>9</w:t>
      </w:r>
      <w:r>
        <w:rPr>
          <w:rFonts w:hint="eastAsia"/>
          <w:color w:val="000000" w:themeColor="text1"/>
          <w:lang w:eastAsia="zh-CN"/>
        </w:rPr>
        <w:t>家企业的情况。同时，熙盛建材的员工向检查人员提供了“百通熙盛会计群”等微信群聊天记录，</w:t>
      </w:r>
      <w:r>
        <w:rPr>
          <w:rFonts w:hint="eastAsia"/>
          <w:color w:val="000000" w:themeColor="text1"/>
          <w:lang w:eastAsia="zh-CN"/>
        </w:rPr>
        <w:lastRenderedPageBreak/>
        <w:t>记录显现了百通公司为熙盛建材提供帮助的违法事实：</w:t>
      </w:r>
      <w:r>
        <w:rPr>
          <w:rFonts w:hint="eastAsia"/>
          <w:color w:val="000000" w:themeColor="text1"/>
          <w:lang w:eastAsia="zh-CN"/>
        </w:rPr>
        <w:t>9</w:t>
      </w:r>
      <w:r>
        <w:rPr>
          <w:rFonts w:hint="eastAsia"/>
          <w:color w:val="000000" w:themeColor="text1"/>
          <w:lang w:eastAsia="zh-CN"/>
        </w:rPr>
        <w:t>家企业注册登记后，均由百通公司帮助拆分收入，每当熙盛建材单户开票金额临近一般纳税人认定标准时，百通公司便提醒其切换空壳主体开具发票。</w:t>
      </w:r>
    </w:p>
    <w:p w14:paraId="7E9A4492" w14:textId="77777777" w:rsidR="003E4FA5" w:rsidRDefault="00000000">
      <w:pPr>
        <w:spacing w:beforeLines="50" w:before="120" w:afterLines="50" w:after="120" w:line="480" w:lineRule="exact"/>
        <w:ind w:firstLine="560"/>
        <w:rPr>
          <w:b/>
          <w:bCs/>
          <w:color w:val="000000" w:themeColor="text1"/>
          <w:lang w:eastAsia="zh-CN"/>
        </w:rPr>
      </w:pPr>
      <w:r>
        <w:rPr>
          <w:rFonts w:hint="eastAsia"/>
          <w:color w:val="000000" w:themeColor="text1"/>
          <w:lang w:eastAsia="zh-CN"/>
        </w:rPr>
        <w:t>随后，检查人员依法调取了</w:t>
      </w:r>
      <w:r>
        <w:rPr>
          <w:rFonts w:hint="eastAsia"/>
          <w:color w:val="000000" w:themeColor="text1"/>
          <w:lang w:eastAsia="zh-CN"/>
        </w:rPr>
        <w:t>9</w:t>
      </w:r>
      <w:r>
        <w:rPr>
          <w:rFonts w:hint="eastAsia"/>
          <w:color w:val="000000" w:themeColor="text1"/>
          <w:lang w:eastAsia="zh-CN"/>
        </w:rPr>
        <w:t>家企业的银行流水，发现对公账户收到货款后均转入熙盛建材法定代表人的私人账户，这也印证了</w:t>
      </w:r>
      <w:r>
        <w:rPr>
          <w:rFonts w:hint="eastAsia"/>
          <w:color w:val="000000" w:themeColor="text1"/>
          <w:lang w:eastAsia="zh-CN"/>
        </w:rPr>
        <w:t>9</w:t>
      </w:r>
      <w:r>
        <w:rPr>
          <w:rFonts w:hint="eastAsia"/>
          <w:color w:val="000000" w:themeColor="text1"/>
          <w:lang w:eastAsia="zh-CN"/>
        </w:rPr>
        <w:t>家企业就是为帮助熙盛建材拆分收入而设立的。至此，百通公司和熙盛建材的违法路径基本清晰。</w:t>
      </w:r>
    </w:p>
    <w:p w14:paraId="7F458F78" w14:textId="77777777" w:rsidR="003E4FA5" w:rsidRDefault="00000000">
      <w:pPr>
        <w:spacing w:beforeLines="50" w:before="120" w:afterLines="50" w:after="120" w:line="480" w:lineRule="exact"/>
        <w:ind w:firstLine="480"/>
        <w:rPr>
          <w:color w:val="000000" w:themeColor="text1"/>
          <w:lang w:eastAsia="zh-CN"/>
        </w:rPr>
      </w:pPr>
      <w:r>
        <w:rPr>
          <w:rFonts w:ascii="宋体" w:eastAsia="宋体" w:hAnsi="宋体" w:cs="宋体"/>
          <w:noProof/>
          <w:color w:val="000000" w:themeColor="text1"/>
          <w:sz w:val="24"/>
          <w:szCs w:val="24"/>
        </w:rPr>
        <w:drawing>
          <wp:anchor distT="0" distB="0" distL="114300" distR="114300" simplePos="0" relativeHeight="251659264" behindDoc="0" locked="0" layoutInCell="1" allowOverlap="1" wp14:anchorId="6EAB437F" wp14:editId="3B494B1C">
            <wp:simplePos x="0" y="0"/>
            <wp:positionH relativeFrom="column">
              <wp:posOffset>-34925</wp:posOffset>
            </wp:positionH>
            <wp:positionV relativeFrom="paragraph">
              <wp:posOffset>55245</wp:posOffset>
            </wp:positionV>
            <wp:extent cx="5686425" cy="1980565"/>
            <wp:effectExtent l="0" t="0" r="9525" b="635"/>
            <wp:wrapTopAndBottom/>
            <wp:docPr id="1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IMG_256"/>
                    <pic:cNvPicPr>
                      <a:picLocks noChangeAspect="1"/>
                    </pic:cNvPicPr>
                  </pic:nvPicPr>
                  <pic:blipFill>
                    <a:blip r:embed="rId19"/>
                    <a:stretch>
                      <a:fillRect/>
                    </a:stretch>
                  </pic:blipFill>
                  <pic:spPr>
                    <a:xfrm>
                      <a:off x="0" y="0"/>
                      <a:ext cx="5686425" cy="1980565"/>
                    </a:xfrm>
                    <a:prstGeom prst="rect">
                      <a:avLst/>
                    </a:prstGeom>
                    <a:noFill/>
                    <a:ln w="9525">
                      <a:noFill/>
                    </a:ln>
                  </pic:spPr>
                </pic:pic>
              </a:graphicData>
            </a:graphic>
          </wp:anchor>
        </w:drawing>
      </w:r>
      <w:r>
        <w:rPr>
          <w:rFonts w:ascii="宋体" w:eastAsia="宋体" w:hAnsi="宋体" w:cs="宋体" w:hint="eastAsia"/>
          <w:color w:val="000000" w:themeColor="text1"/>
          <w:sz w:val="24"/>
          <w:szCs w:val="24"/>
          <w:lang w:eastAsia="zh-CN"/>
        </w:rPr>
        <w:t xml:space="preserve"> </w:t>
      </w:r>
      <w:r>
        <w:rPr>
          <w:rFonts w:hint="eastAsia"/>
          <w:b/>
          <w:bCs/>
          <w:color w:val="000000" w:themeColor="text1"/>
          <w:lang w:eastAsia="zh-CN"/>
        </w:rPr>
        <w:t>违法行为原形毕露</w:t>
      </w:r>
      <w:r>
        <w:rPr>
          <w:rFonts w:hint="eastAsia"/>
          <w:b/>
          <w:bCs/>
          <w:color w:val="000000" w:themeColor="text1"/>
          <w:lang w:eastAsia="zh-CN"/>
        </w:rPr>
        <w:t xml:space="preserve"> </w:t>
      </w:r>
      <w:r>
        <w:rPr>
          <w:rFonts w:hint="eastAsia"/>
          <w:b/>
          <w:bCs/>
          <w:color w:val="000000" w:themeColor="text1"/>
          <w:lang w:eastAsia="zh-CN"/>
        </w:rPr>
        <w:t>中介与企业均受到处罚</w:t>
      </w:r>
    </w:p>
    <w:p w14:paraId="2A9DE74E" w14:textId="77777777" w:rsidR="003E4FA5" w:rsidRDefault="00000000">
      <w:pPr>
        <w:spacing w:beforeLines="50" w:before="120" w:afterLines="50" w:after="120" w:line="480" w:lineRule="exact"/>
        <w:ind w:firstLine="560"/>
        <w:rPr>
          <w:color w:val="000000" w:themeColor="text1"/>
          <w:lang w:eastAsia="zh-CN"/>
        </w:rPr>
      </w:pPr>
      <w:r>
        <w:rPr>
          <w:rFonts w:hint="eastAsia"/>
          <w:color w:val="000000" w:themeColor="text1"/>
          <w:lang w:eastAsia="zh-CN"/>
        </w:rPr>
        <w:t>在确凿的证据面前，熙盛建材法定代表人承认，在百通公司的帮助下，其将熙盛建材的经营收入拆分至</w:t>
      </w:r>
      <w:r>
        <w:rPr>
          <w:rFonts w:hint="eastAsia"/>
          <w:color w:val="000000" w:themeColor="text1"/>
          <w:lang w:eastAsia="zh-CN"/>
        </w:rPr>
        <w:t>9</w:t>
      </w:r>
      <w:r>
        <w:rPr>
          <w:rFonts w:hint="eastAsia"/>
          <w:color w:val="000000" w:themeColor="text1"/>
          <w:lang w:eastAsia="zh-CN"/>
        </w:rPr>
        <w:t>家利用员工信息注册的空壳企业名下，并将单户企业开票金额控制在小规模纳税人标准以内，从而少缴税款。其还承认，</w:t>
      </w:r>
      <w:r>
        <w:rPr>
          <w:rFonts w:hint="eastAsia"/>
          <w:color w:val="000000" w:themeColor="text1"/>
          <w:lang w:eastAsia="zh-CN"/>
        </w:rPr>
        <w:t>30.03</w:t>
      </w:r>
      <w:r>
        <w:rPr>
          <w:rFonts w:hint="eastAsia"/>
          <w:color w:val="000000" w:themeColor="text1"/>
          <w:lang w:eastAsia="zh-CN"/>
        </w:rPr>
        <w:t>万元转账中，</w:t>
      </w:r>
      <w:r>
        <w:rPr>
          <w:rFonts w:hint="eastAsia"/>
          <w:color w:val="000000" w:themeColor="text1"/>
          <w:lang w:eastAsia="zh-CN"/>
        </w:rPr>
        <w:t>1</w:t>
      </w:r>
      <w:r>
        <w:rPr>
          <w:rFonts w:hint="eastAsia"/>
          <w:color w:val="000000" w:themeColor="text1"/>
          <w:lang w:eastAsia="zh-CN"/>
        </w:rPr>
        <w:t>万元是百通公司帮助设立</w:t>
      </w:r>
      <w:r>
        <w:rPr>
          <w:rFonts w:hint="eastAsia"/>
          <w:color w:val="000000" w:themeColor="text1"/>
          <w:lang w:eastAsia="zh-CN"/>
        </w:rPr>
        <w:t>9</w:t>
      </w:r>
      <w:r>
        <w:rPr>
          <w:rFonts w:hint="eastAsia"/>
          <w:color w:val="000000" w:themeColor="text1"/>
          <w:lang w:eastAsia="zh-CN"/>
        </w:rPr>
        <w:t>家空壳企业的好处费，其余则为</w:t>
      </w:r>
      <w:r>
        <w:rPr>
          <w:rFonts w:hint="eastAsia"/>
          <w:color w:val="000000" w:themeColor="text1"/>
          <w:lang w:eastAsia="zh-CN"/>
        </w:rPr>
        <w:t>9</w:t>
      </w:r>
      <w:r>
        <w:rPr>
          <w:rFonts w:hint="eastAsia"/>
          <w:color w:val="000000" w:themeColor="text1"/>
          <w:lang w:eastAsia="zh-CN"/>
        </w:rPr>
        <w:t>家空壳企业缴纳的税费及相关费用。</w:t>
      </w:r>
    </w:p>
    <w:p w14:paraId="06BF66CB" w14:textId="77777777" w:rsidR="003E4FA5" w:rsidRDefault="00000000">
      <w:pPr>
        <w:spacing w:beforeLines="50" w:before="120" w:afterLines="50" w:after="120" w:line="480" w:lineRule="exact"/>
        <w:ind w:firstLine="560"/>
        <w:rPr>
          <w:color w:val="000000" w:themeColor="text1"/>
          <w:lang w:eastAsia="zh-CN"/>
        </w:rPr>
      </w:pPr>
      <w:r>
        <w:rPr>
          <w:rFonts w:hint="eastAsia"/>
          <w:color w:val="000000" w:themeColor="text1"/>
          <w:lang w:eastAsia="zh-CN"/>
        </w:rPr>
        <w:t>基于上述情况，检查人员依法对百通公司相关人员进行约谈。面对详实的证据，朱启彬最终承认了帮助熙盛建材注册</w:t>
      </w:r>
      <w:r>
        <w:rPr>
          <w:rFonts w:hint="eastAsia"/>
          <w:color w:val="000000" w:themeColor="text1"/>
          <w:lang w:eastAsia="zh-CN"/>
        </w:rPr>
        <w:t>9</w:t>
      </w:r>
      <w:r>
        <w:rPr>
          <w:rFonts w:hint="eastAsia"/>
          <w:color w:val="000000" w:themeColor="text1"/>
          <w:lang w:eastAsia="zh-CN"/>
        </w:rPr>
        <w:t>家空壳企业，通过拆分收入违规享受税收优惠政策少缴税款的行为。同时，承认其长期使用本人及员工私人微信、银行卡收取代理费，隐匿收入并虚假申报偷逃税款的行为。</w:t>
      </w:r>
    </w:p>
    <w:p w14:paraId="77D729D9" w14:textId="77777777" w:rsidR="003E4FA5" w:rsidRDefault="00000000">
      <w:pPr>
        <w:spacing w:beforeLines="50" w:before="120" w:afterLines="50" w:after="120" w:line="480" w:lineRule="exact"/>
        <w:ind w:firstLine="560"/>
        <w:rPr>
          <w:color w:val="000000" w:themeColor="text1"/>
          <w:lang w:eastAsia="zh-CN"/>
        </w:rPr>
      </w:pPr>
      <w:r>
        <w:rPr>
          <w:rFonts w:hint="eastAsia"/>
          <w:color w:val="000000" w:themeColor="text1"/>
          <w:lang w:eastAsia="zh-CN"/>
        </w:rPr>
        <w:t>经查，</w:t>
      </w:r>
      <w:r>
        <w:rPr>
          <w:rFonts w:hint="eastAsia"/>
          <w:color w:val="000000" w:themeColor="text1"/>
          <w:lang w:eastAsia="zh-CN"/>
        </w:rPr>
        <w:t>2022</w:t>
      </w:r>
      <w:r>
        <w:rPr>
          <w:rFonts w:hint="eastAsia"/>
          <w:color w:val="000000" w:themeColor="text1"/>
          <w:lang w:eastAsia="zh-CN"/>
        </w:rPr>
        <w:t>年至</w:t>
      </w:r>
      <w:r>
        <w:rPr>
          <w:rFonts w:hint="eastAsia"/>
          <w:color w:val="000000" w:themeColor="text1"/>
          <w:lang w:eastAsia="zh-CN"/>
        </w:rPr>
        <w:t>2024</w:t>
      </w:r>
      <w:r>
        <w:rPr>
          <w:rFonts w:hint="eastAsia"/>
          <w:color w:val="000000" w:themeColor="text1"/>
          <w:lang w:eastAsia="zh-CN"/>
        </w:rPr>
        <w:t>年，百通公司帮助熙盛建材通过注册</w:t>
      </w:r>
      <w:r>
        <w:rPr>
          <w:rFonts w:hint="eastAsia"/>
          <w:color w:val="000000" w:themeColor="text1"/>
          <w:lang w:eastAsia="zh-CN"/>
        </w:rPr>
        <w:t>9</w:t>
      </w:r>
      <w:r>
        <w:rPr>
          <w:rFonts w:hint="eastAsia"/>
          <w:color w:val="000000" w:themeColor="text1"/>
          <w:lang w:eastAsia="zh-CN"/>
        </w:rPr>
        <w:t>家空壳企业，拆分收入违规享受税收优惠，涉及金额</w:t>
      </w:r>
      <w:r>
        <w:rPr>
          <w:rFonts w:hint="eastAsia"/>
          <w:color w:val="000000" w:themeColor="text1"/>
          <w:lang w:eastAsia="zh-CN"/>
        </w:rPr>
        <w:t>2628.79</w:t>
      </w:r>
      <w:r>
        <w:rPr>
          <w:rFonts w:hint="eastAsia"/>
          <w:color w:val="000000" w:themeColor="text1"/>
          <w:lang w:eastAsia="zh-CN"/>
        </w:rPr>
        <w:t>万元，造成其少缴税款</w:t>
      </w:r>
      <w:r>
        <w:rPr>
          <w:rFonts w:hint="eastAsia"/>
          <w:color w:val="000000" w:themeColor="text1"/>
          <w:lang w:eastAsia="zh-CN"/>
        </w:rPr>
        <w:t>60.14</w:t>
      </w:r>
      <w:r>
        <w:rPr>
          <w:rFonts w:hint="eastAsia"/>
          <w:color w:val="000000" w:themeColor="text1"/>
          <w:lang w:eastAsia="zh-CN"/>
        </w:rPr>
        <w:t>万元；百通公司通过个人银行账户及第三方平台收取代理费，</w:t>
      </w:r>
      <w:r>
        <w:rPr>
          <w:rFonts w:hint="eastAsia"/>
          <w:color w:val="000000" w:themeColor="text1"/>
          <w:lang w:eastAsia="zh-CN"/>
        </w:rPr>
        <w:lastRenderedPageBreak/>
        <w:t>累计隐匿收入</w:t>
      </w:r>
      <w:r>
        <w:rPr>
          <w:rFonts w:hint="eastAsia"/>
          <w:color w:val="000000" w:themeColor="text1"/>
          <w:lang w:eastAsia="zh-CN"/>
        </w:rPr>
        <w:t>68.04</w:t>
      </w:r>
      <w:r>
        <w:rPr>
          <w:rFonts w:hint="eastAsia"/>
          <w:color w:val="000000" w:themeColor="text1"/>
          <w:lang w:eastAsia="zh-CN"/>
        </w:rPr>
        <w:t>万元，少缴增值税、企业所得税等税费款共计</w:t>
      </w:r>
      <w:r>
        <w:rPr>
          <w:rFonts w:hint="eastAsia"/>
          <w:color w:val="000000" w:themeColor="text1"/>
          <w:lang w:eastAsia="zh-CN"/>
        </w:rPr>
        <w:t>6.45</w:t>
      </w:r>
      <w:r>
        <w:rPr>
          <w:rFonts w:hint="eastAsia"/>
          <w:color w:val="000000" w:themeColor="text1"/>
          <w:lang w:eastAsia="zh-CN"/>
        </w:rPr>
        <w:t>万元。</w:t>
      </w:r>
    </w:p>
    <w:p w14:paraId="146D5B34" w14:textId="77777777" w:rsidR="003E4FA5" w:rsidRDefault="00000000">
      <w:pPr>
        <w:spacing w:beforeLines="50" w:before="120" w:afterLines="50" w:after="120" w:line="480" w:lineRule="exact"/>
        <w:ind w:firstLine="560"/>
        <w:rPr>
          <w:color w:val="000000" w:themeColor="text1"/>
          <w:lang w:eastAsia="zh-CN"/>
        </w:rPr>
      </w:pPr>
      <w:r>
        <w:rPr>
          <w:rFonts w:hint="eastAsia"/>
          <w:color w:val="000000" w:themeColor="text1"/>
          <w:lang w:eastAsia="zh-CN"/>
        </w:rPr>
        <w:t>《中华人民共和国税收征收管理法实施细则》第九十三条规定：为纳税人、扣缴义务人非法提供银行账户、发票、证明或者其他方便，导致未缴、少缴税款或者骗取国家出口退税款的，税务机关除没收其违法所得外，可以处未缴、少缴或者骗取的税款</w:t>
      </w:r>
      <w:r>
        <w:rPr>
          <w:rFonts w:hint="eastAsia"/>
          <w:color w:val="000000" w:themeColor="text1"/>
          <w:lang w:eastAsia="zh-CN"/>
        </w:rPr>
        <w:t>1</w:t>
      </w:r>
      <w:r>
        <w:rPr>
          <w:rFonts w:hint="eastAsia"/>
          <w:color w:val="000000" w:themeColor="text1"/>
          <w:lang w:eastAsia="zh-CN"/>
        </w:rPr>
        <w:t>倍以下的罚款。《中华人民共和国税收征收管理法》第六十三条第一款规定：纳税人伪造、变造、隐匿、擅自销毁账簿、记账凭证，或者在账簿上多列支出或者不列、少列收入，或者经税务机关通知申报而拒不申报或者进行虚假的纳税申报，不缴或者少缴应纳税款的，是偷税。对纳税人偷税的，由税务机关追缴其不缴或者少缴的税款、滞纳金，并处不缴或者少缴的税款百分之五十以上五倍以下的罚款；构成犯罪的，依法追究刑事责任。</w:t>
      </w:r>
    </w:p>
    <w:p w14:paraId="4250869F" w14:textId="77777777" w:rsidR="003E4FA5" w:rsidRDefault="00000000">
      <w:pPr>
        <w:spacing w:beforeLines="50" w:before="120" w:afterLines="50" w:after="120" w:line="480" w:lineRule="exact"/>
        <w:ind w:firstLine="560"/>
        <w:rPr>
          <w:color w:val="000000" w:themeColor="text1"/>
          <w:lang w:eastAsia="zh-CN"/>
        </w:rPr>
      </w:pPr>
      <w:r>
        <w:rPr>
          <w:rFonts w:hint="eastAsia"/>
          <w:color w:val="000000" w:themeColor="text1"/>
          <w:lang w:eastAsia="zh-CN"/>
        </w:rPr>
        <w:t>针对相关违法事实，</w:t>
      </w:r>
      <w:r>
        <w:rPr>
          <w:rFonts w:hint="eastAsia"/>
          <w:color w:val="000000" w:themeColor="text1"/>
          <w:lang w:eastAsia="zh-CN"/>
        </w:rPr>
        <w:t>2026</w:t>
      </w:r>
      <w:r>
        <w:rPr>
          <w:rFonts w:hint="eastAsia"/>
          <w:color w:val="000000" w:themeColor="text1"/>
          <w:lang w:eastAsia="zh-CN"/>
        </w:rPr>
        <w:t>年</w:t>
      </w:r>
      <w:r>
        <w:rPr>
          <w:rFonts w:hint="eastAsia"/>
          <w:color w:val="000000" w:themeColor="text1"/>
          <w:lang w:eastAsia="zh-CN"/>
        </w:rPr>
        <w:t>4</w:t>
      </w:r>
      <w:r>
        <w:rPr>
          <w:rFonts w:hint="eastAsia"/>
          <w:color w:val="000000" w:themeColor="text1"/>
          <w:lang w:eastAsia="zh-CN"/>
        </w:rPr>
        <w:t>月，税务部门对莱州百通财务管理有限公司作出没收违法所得、追缴税费款、加收滞纳金并处罚款共计</w:t>
      </w:r>
      <w:r>
        <w:rPr>
          <w:rFonts w:hint="eastAsia"/>
          <w:color w:val="000000" w:themeColor="text1"/>
          <w:lang w:eastAsia="zh-CN"/>
        </w:rPr>
        <w:t>70.51</w:t>
      </w:r>
      <w:r>
        <w:rPr>
          <w:rFonts w:hint="eastAsia"/>
          <w:color w:val="000000" w:themeColor="text1"/>
          <w:lang w:eastAsia="zh-CN"/>
        </w:rPr>
        <w:t>万元的处理处罚决定，对莱州市熙盛建材有限公司作出追缴税费款、加收滞纳金并处罚款共计</w:t>
      </w:r>
      <w:r>
        <w:rPr>
          <w:rFonts w:hint="eastAsia"/>
          <w:color w:val="000000" w:themeColor="text1"/>
          <w:lang w:eastAsia="zh-CN"/>
        </w:rPr>
        <w:t>116.38</w:t>
      </w:r>
      <w:r>
        <w:rPr>
          <w:rFonts w:hint="eastAsia"/>
          <w:color w:val="000000" w:themeColor="text1"/>
          <w:lang w:eastAsia="zh-CN"/>
        </w:rPr>
        <w:t>万元的处理处罚决定；根据涉税专业服务管理相关规定，对莱州百通财务管理有限公司及其实际控制人朱启彬采取列为涉税服务失信主体等措施。目前，涉案违法所得、税费款、滞纳金及罚款均已追缴入库。</w:t>
      </w:r>
    </w:p>
    <w:p w14:paraId="26496C76" w14:textId="77777777" w:rsidR="003E4FA5" w:rsidRDefault="00000000">
      <w:pPr>
        <w:spacing w:beforeLines="50" w:before="120" w:afterLines="50" w:after="120" w:line="480" w:lineRule="exact"/>
        <w:ind w:firstLine="560"/>
        <w:jc w:val="right"/>
        <w:rPr>
          <w:color w:val="000000" w:themeColor="text1"/>
          <w:lang w:eastAsia="zh-CN"/>
        </w:rPr>
      </w:pPr>
      <w:r>
        <w:rPr>
          <w:rFonts w:hint="eastAsia"/>
          <w:color w:val="000000" w:themeColor="text1"/>
          <w:lang w:eastAsia="zh-CN"/>
        </w:rPr>
        <w:t>来源：国家税务总局山东省税务局</w:t>
      </w:r>
    </w:p>
    <w:p w14:paraId="69D2B784" w14:textId="77777777" w:rsidR="003E4FA5" w:rsidRDefault="00000000">
      <w:pPr>
        <w:spacing w:beforeLines="50" w:before="120" w:afterLines="50" w:after="120" w:line="480" w:lineRule="exact"/>
        <w:ind w:firstLine="560"/>
        <w:jc w:val="center"/>
        <w:rPr>
          <w:color w:val="000000" w:themeColor="text1"/>
          <w:lang w:eastAsia="zh-CN"/>
        </w:rPr>
      </w:pPr>
      <w:r>
        <w:rPr>
          <w:rFonts w:hint="eastAsia"/>
          <w:color w:val="000000" w:themeColor="text1"/>
          <w:lang w:eastAsia="zh-CN"/>
        </w:rPr>
        <w:t xml:space="preserve">                </w:t>
      </w:r>
      <w:r>
        <w:rPr>
          <w:rFonts w:hint="eastAsia"/>
          <w:color w:val="000000" w:themeColor="text1"/>
          <w:lang w:eastAsia="zh-CN"/>
        </w:rPr>
        <w:t>时间：</w:t>
      </w:r>
      <w:r>
        <w:rPr>
          <w:rFonts w:hint="eastAsia"/>
          <w:color w:val="000000" w:themeColor="text1"/>
          <w:lang w:eastAsia="zh-CN"/>
        </w:rPr>
        <w:t>2026-10-12</w:t>
      </w:r>
    </w:p>
    <w:p w14:paraId="53D73C30" w14:textId="77777777" w:rsidR="003E4FA5" w:rsidRDefault="00000000">
      <w:pPr>
        <w:spacing w:beforeLines="50" w:before="120" w:afterLines="50" w:after="120" w:line="480" w:lineRule="exact"/>
        <w:ind w:firstLineChars="0" w:firstLine="0"/>
        <w:rPr>
          <w:color w:val="000000" w:themeColor="text1"/>
          <w:lang w:eastAsia="zh-CN"/>
        </w:rPr>
      </w:pPr>
      <w:r>
        <w:rPr>
          <w:rFonts w:hint="eastAsia"/>
          <w:color w:val="000000" w:themeColor="text1"/>
          <w:lang w:eastAsia="zh-CN"/>
        </w:rPr>
        <w:t>链接：</w:t>
      </w:r>
      <w:r>
        <w:rPr>
          <w:rFonts w:hint="eastAsia"/>
          <w:color w:val="000000" w:themeColor="text1"/>
          <w:lang w:eastAsia="zh-CN"/>
        </w:rPr>
        <w:t>http://shandong.chinatax.gov.cn/art/2026/10/12/art_23_1511707.html</w:t>
      </w:r>
    </w:p>
    <w:p w14:paraId="032CD33C" w14:textId="77777777" w:rsidR="003E4FA5" w:rsidRDefault="00000000">
      <w:pPr>
        <w:pStyle w:val="1"/>
        <w:ind w:firstLine="640"/>
        <w:rPr>
          <w:rFonts w:hint="eastAsia"/>
          <w:color w:val="000000" w:themeColor="text1"/>
        </w:rPr>
      </w:pPr>
      <w:bookmarkStart w:id="57" w:name="_Toc25989"/>
      <w:r>
        <w:rPr>
          <w:rFonts w:hint="eastAsia"/>
          <w:color w:val="000000" w:themeColor="text1"/>
        </w:rPr>
        <w:t>五、税务合规探索</w:t>
      </w:r>
      <w:bookmarkEnd w:id="57"/>
    </w:p>
    <w:p w14:paraId="69B05772" w14:textId="77777777" w:rsidR="003E4FA5" w:rsidRDefault="00000000">
      <w:pPr>
        <w:pStyle w:val="2"/>
        <w:spacing w:before="140" w:after="140" w:line="360" w:lineRule="auto"/>
        <w:ind w:firstLine="600"/>
        <w:rPr>
          <w:rFonts w:ascii="仿宋" w:hAnsi="仿宋" w:cs="仿宋" w:hint="eastAsia"/>
          <w:color w:val="000000" w:themeColor="text1"/>
          <w:lang w:eastAsia="zh-CN"/>
        </w:rPr>
      </w:pPr>
      <w:bookmarkStart w:id="58" w:name="_Toc23730"/>
      <w:r>
        <w:rPr>
          <w:rFonts w:ascii="仿宋" w:hAnsi="仿宋" w:cs="仿宋" w:hint="eastAsia"/>
          <w:color w:val="000000" w:themeColor="text1"/>
          <w:lang w:eastAsia="zh-CN"/>
        </w:rPr>
        <w:t>（一）</w:t>
      </w:r>
      <w:bookmarkEnd w:id="58"/>
      <w:r>
        <w:rPr>
          <w:rFonts w:ascii="仿宋" w:hAnsi="仿宋" w:cs="仿宋" w:hint="eastAsia"/>
          <w:color w:val="000000" w:themeColor="text1"/>
          <w:lang w:eastAsia="zh-CN"/>
        </w:rPr>
        <w:t>江西省税务、科技部门联合发布合规享受研发费用加计扣除优惠政策典型案例</w:t>
      </w:r>
    </w:p>
    <w:p w14:paraId="2D17A887" w14:textId="77777777" w:rsidR="003E4FA5"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themeColor="text1"/>
          <w:szCs w:val="28"/>
          <w:lang w:eastAsia="zh-CN"/>
        </w:rPr>
      </w:pPr>
      <w:r>
        <w:rPr>
          <w:rFonts w:ascii="仿宋" w:hAnsi="仿宋" w:cs="仿宋" w:hint="eastAsia"/>
          <w:color w:val="000000" w:themeColor="text1"/>
          <w:szCs w:val="28"/>
          <w:lang w:eastAsia="zh-CN"/>
        </w:rPr>
        <w:t>近年来，江西省深入实施制造业重点产业链现代化建设“1269”行动计划，创新主体活力持续迸发。税收数据显示，2025年江西省高技术产业、</w:t>
      </w:r>
      <w:r>
        <w:rPr>
          <w:rFonts w:ascii="仿宋" w:hAnsi="仿宋" w:cs="仿宋" w:hint="eastAsia"/>
          <w:color w:val="000000" w:themeColor="text1"/>
          <w:szCs w:val="28"/>
          <w:lang w:eastAsia="zh-CN"/>
        </w:rPr>
        <w:lastRenderedPageBreak/>
        <w:t>数字经济核心产业销售收入分别同比增长20.2%、12.1%，以技术创新为核心驱动力的产业升级正持续深化。近日，国家税务总局江西省税务局、江西省科学技术厅联合发布五家合规享受研发费用加计扣除优惠政策典型案例，相关企业做法覆盖研发立项、费用归集、辅助账管理、资料留存等全流程，展现企业“以合规享红利、以红利助研发、以研发强合规”的良性发展闭环</w:t>
      </w:r>
      <w:r>
        <w:rPr>
          <w:rFonts w:ascii="仿宋" w:hAnsi="仿宋" w:cs="仿宋"/>
          <w:color w:val="000000" w:themeColor="text1"/>
          <w:szCs w:val="28"/>
          <w:lang w:eastAsia="zh-CN"/>
        </w:rPr>
        <w:t>。</w:t>
      </w:r>
    </w:p>
    <w:p w14:paraId="7FA91409" w14:textId="77777777" w:rsidR="003E4FA5" w:rsidRDefault="00000000">
      <w:pPr>
        <w:widowControl w:val="0"/>
        <w:adjustRightInd w:val="0"/>
        <w:snapToGrid w:val="0"/>
        <w:spacing w:beforeLines="50" w:before="120" w:afterLines="50" w:after="120" w:line="360" w:lineRule="auto"/>
        <w:ind w:firstLine="562"/>
        <w:contextualSpacing/>
        <w:rPr>
          <w:rFonts w:ascii="仿宋" w:hAnsi="仿宋" w:cs="仿宋" w:hint="eastAsia"/>
          <w:color w:val="000000" w:themeColor="text1"/>
          <w:szCs w:val="28"/>
          <w:lang w:eastAsia="zh-CN"/>
        </w:rPr>
      </w:pPr>
      <w:r>
        <w:rPr>
          <w:rFonts w:ascii="仿宋" w:hAnsi="仿宋" w:cs="仿宋" w:hint="eastAsia"/>
          <w:b/>
          <w:bCs/>
          <w:color w:val="000000" w:themeColor="text1"/>
          <w:szCs w:val="28"/>
          <w:lang w:eastAsia="zh-CN"/>
        </w:rPr>
        <w:t>案例一：江西鑫通机械制造有限公司。</w:t>
      </w:r>
      <w:r>
        <w:rPr>
          <w:rFonts w:ascii="仿宋" w:hAnsi="仿宋" w:cs="仿宋" w:hint="eastAsia"/>
          <w:color w:val="000000" w:themeColor="text1"/>
          <w:szCs w:val="28"/>
          <w:lang w:eastAsia="zh-CN"/>
        </w:rPr>
        <w:t>该公司是国内主要隧道掘进设备生产商之一，针对研发费用归集的难点问题，企业探索建立了“三分管理”精准归集法，实现合规与创新双提升。</w:t>
      </w:r>
      <w:r>
        <w:rPr>
          <w:rFonts w:ascii="仿宋" w:hAnsi="仿宋" w:cs="仿宋" w:hint="eastAsia"/>
          <w:b/>
          <w:bCs/>
          <w:color w:val="000000" w:themeColor="text1"/>
          <w:szCs w:val="28"/>
          <w:lang w:eastAsia="zh-CN"/>
        </w:rPr>
        <w:t>研发项目“分级审核”</w:t>
      </w:r>
      <w:r>
        <w:rPr>
          <w:rFonts w:ascii="仿宋" w:hAnsi="仿宋" w:cs="仿宋" w:hint="eastAsia"/>
          <w:color w:val="000000" w:themeColor="text1"/>
          <w:szCs w:val="28"/>
          <w:lang w:eastAsia="zh-CN"/>
        </w:rPr>
        <w:t>：建立研发、财务、合同“三审”机制，研发部门判定项目技术是否具备创新性和突破性，财务部门核验费用归集口径是否符合政策要求，合同部门审查合同合规风险，做到“不该进的坚决不进”。</w:t>
      </w:r>
      <w:r>
        <w:rPr>
          <w:rFonts w:ascii="仿宋" w:hAnsi="仿宋" w:cs="仿宋" w:hint="eastAsia"/>
          <w:b/>
          <w:bCs/>
          <w:color w:val="000000" w:themeColor="text1"/>
          <w:szCs w:val="28"/>
          <w:lang w:eastAsia="zh-CN"/>
        </w:rPr>
        <w:t>人员共用成本“分类分摊”</w:t>
      </w:r>
      <w:r>
        <w:rPr>
          <w:rFonts w:ascii="仿宋" w:hAnsi="仿宋" w:cs="仿宋" w:hint="eastAsia"/>
          <w:color w:val="000000" w:themeColor="text1"/>
          <w:szCs w:val="28"/>
          <w:lang w:eastAsia="zh-CN"/>
        </w:rPr>
        <w:t>：设置“研发工时”专属打卡模块，研发人员进入对应项目打卡签入后系统自动按项目累计工时，按月抽查比对门禁进出记录与工时填报数据，确保工时真实准确，以此为据将专职研发人员薪酬全额计入对应项目、辅助人员薪酬按各项目实际耗用工时比例精准分摊，从根源上解决共用成本“归不准、说不清”的问题。</w:t>
      </w:r>
      <w:r>
        <w:rPr>
          <w:rFonts w:ascii="仿宋" w:hAnsi="仿宋" w:cs="仿宋" w:hint="eastAsia"/>
          <w:b/>
          <w:bCs/>
          <w:color w:val="000000" w:themeColor="text1"/>
          <w:szCs w:val="28"/>
          <w:lang w:eastAsia="zh-CN"/>
        </w:rPr>
        <w:t>材料费用“分项归集”</w:t>
      </w:r>
      <w:r>
        <w:rPr>
          <w:rFonts w:ascii="仿宋" w:hAnsi="仿宋" w:cs="仿宋" w:hint="eastAsia"/>
          <w:color w:val="000000" w:themeColor="text1"/>
          <w:szCs w:val="28"/>
          <w:lang w:eastAsia="zh-CN"/>
        </w:rPr>
        <w:t>：研发领料与生产领料分行填报、分开流转，领料单标注对应研发项目编号，做到“一事一单、料随号走”；建立“一项目一档”辅助台账，完整记录领料时间、数量、品名等关键信息，按月与仓库对账核验，确保每一笔材料投入可追溯、可核查。2025年，公司享受研发费用加计扣除金额5248.5万元。</w:t>
      </w:r>
      <w:r>
        <w:rPr>
          <w:rFonts w:ascii="仿宋" w:hAnsi="仿宋" w:cs="仿宋"/>
          <w:color w:val="000000" w:themeColor="text1"/>
          <w:szCs w:val="28"/>
          <w:lang w:eastAsia="zh-CN"/>
        </w:rPr>
        <w:t>。</w:t>
      </w:r>
    </w:p>
    <w:p w14:paraId="1472AB09" w14:textId="77777777" w:rsidR="003E4FA5" w:rsidRDefault="00000000">
      <w:pPr>
        <w:widowControl w:val="0"/>
        <w:adjustRightInd w:val="0"/>
        <w:snapToGrid w:val="0"/>
        <w:spacing w:beforeLines="50" w:before="120" w:afterLines="50" w:after="120" w:line="360" w:lineRule="auto"/>
        <w:ind w:firstLine="562"/>
        <w:contextualSpacing/>
        <w:rPr>
          <w:rFonts w:ascii="仿宋" w:hAnsi="仿宋" w:cs="仿宋" w:hint="eastAsia"/>
          <w:color w:val="000000" w:themeColor="text1"/>
          <w:szCs w:val="28"/>
          <w:lang w:eastAsia="zh-CN"/>
        </w:rPr>
      </w:pPr>
      <w:r>
        <w:rPr>
          <w:rFonts w:ascii="仿宋" w:hAnsi="仿宋" w:cs="仿宋" w:hint="eastAsia"/>
          <w:b/>
          <w:bCs/>
          <w:color w:val="000000" w:themeColor="text1"/>
          <w:szCs w:val="28"/>
          <w:lang w:eastAsia="zh-CN"/>
        </w:rPr>
        <w:t>案例二：江西永冠科技发展有限公司</w:t>
      </w:r>
      <w:r>
        <w:rPr>
          <w:rFonts w:ascii="仿宋" w:hAnsi="仿宋" w:cs="仿宋" w:hint="eastAsia"/>
          <w:color w:val="000000" w:themeColor="text1"/>
          <w:szCs w:val="28"/>
          <w:lang w:eastAsia="zh-CN"/>
        </w:rPr>
        <w:t>。该公司为国家高新技术企业、专精特新小巨人，从事胶黏新材料的研发、制造与销售。针对研发与生产场景交织、费用归集易混淆、项目界定不清晰等涉税痛点，该公司构建“三化一通”精准管理体系。</w:t>
      </w:r>
      <w:r>
        <w:rPr>
          <w:rFonts w:ascii="仿宋" w:hAnsi="仿宋" w:cs="仿宋" w:hint="eastAsia"/>
          <w:b/>
          <w:bCs/>
          <w:color w:val="000000" w:themeColor="text1"/>
          <w:szCs w:val="28"/>
          <w:lang w:eastAsia="zh-CN"/>
        </w:rPr>
        <w:t>“三化一通”</w:t>
      </w:r>
      <w:r>
        <w:rPr>
          <w:rFonts w:ascii="仿宋" w:hAnsi="仿宋" w:cs="仿宋" w:hint="eastAsia"/>
          <w:color w:val="000000" w:themeColor="text1"/>
          <w:szCs w:val="28"/>
          <w:lang w:eastAsia="zh-CN"/>
        </w:rPr>
        <w:t>即研发项目在立项标准化、过程数字化、风控常态化全部达标后才可通过最终审核。</w:t>
      </w:r>
      <w:r>
        <w:rPr>
          <w:rFonts w:ascii="仿宋" w:hAnsi="仿宋" w:cs="仿宋" w:hint="eastAsia"/>
          <w:b/>
          <w:bCs/>
          <w:color w:val="000000" w:themeColor="text1"/>
          <w:szCs w:val="28"/>
          <w:lang w:eastAsia="zh-CN"/>
        </w:rPr>
        <w:t>立项标准化</w:t>
      </w:r>
      <w:r>
        <w:rPr>
          <w:rFonts w:ascii="仿宋" w:hAnsi="仿宋" w:cs="仿宋" w:hint="eastAsia"/>
          <w:color w:val="000000" w:themeColor="text1"/>
          <w:szCs w:val="28"/>
          <w:lang w:eastAsia="zh-CN"/>
        </w:rPr>
        <w:t>：成立由技</w:t>
      </w:r>
      <w:r>
        <w:rPr>
          <w:rFonts w:ascii="仿宋" w:hAnsi="仿宋" w:cs="仿宋" w:hint="eastAsia"/>
          <w:color w:val="000000" w:themeColor="text1"/>
          <w:szCs w:val="28"/>
          <w:lang w:eastAsia="zh-CN"/>
        </w:rPr>
        <w:lastRenderedPageBreak/>
        <w:t>术专家、财务部门、税务顾问组成的评审委员会，严格判定项目是否具备实质性创新，是否与常规工艺改良清晰分离，产品性能是否得到实质性突破，从源头确保研发活动性质合规；</w:t>
      </w:r>
      <w:r>
        <w:rPr>
          <w:rFonts w:ascii="仿宋" w:hAnsi="仿宋" w:cs="仿宋" w:hint="eastAsia"/>
          <w:b/>
          <w:bCs/>
          <w:color w:val="000000" w:themeColor="text1"/>
          <w:szCs w:val="28"/>
          <w:lang w:eastAsia="zh-CN"/>
        </w:rPr>
        <w:t>过程数字化</w:t>
      </w:r>
      <w:r>
        <w:rPr>
          <w:rFonts w:ascii="仿宋" w:hAnsi="仿宋" w:cs="仿宋" w:hint="eastAsia"/>
          <w:color w:val="000000" w:themeColor="text1"/>
          <w:szCs w:val="28"/>
          <w:lang w:eastAsia="zh-CN"/>
        </w:rPr>
        <w:t>：在公司ERP系统中增设研发专用模块，领料独立标识，人员移动端填报工时并按实分摊薪酬，中试样品、废料收入自动冲减研发费用，实现全链数字化留痕；</w:t>
      </w:r>
      <w:r>
        <w:rPr>
          <w:rFonts w:ascii="仿宋" w:hAnsi="仿宋" w:cs="仿宋" w:hint="eastAsia"/>
          <w:b/>
          <w:bCs/>
          <w:color w:val="000000" w:themeColor="text1"/>
          <w:szCs w:val="28"/>
          <w:lang w:eastAsia="zh-CN"/>
        </w:rPr>
        <w:t>风控常态化</w:t>
      </w:r>
      <w:r>
        <w:rPr>
          <w:rFonts w:ascii="仿宋" w:hAnsi="仿宋" w:cs="仿宋" w:hint="eastAsia"/>
          <w:color w:val="000000" w:themeColor="text1"/>
          <w:szCs w:val="28"/>
          <w:lang w:eastAsia="zh-CN"/>
        </w:rPr>
        <w:t>：对共用设备折旧等费用按作业动因分配，按月归集、按季合规自查，确保留存的立项书、工时记录、分配底稿等证据链逻辑自洽。该体系运行以来，公司2025年享受研发费用加计扣除金额7880余万。2016年至2025年连续10年获评纳税缴费信用等级A级。</w:t>
      </w:r>
    </w:p>
    <w:p w14:paraId="0E184539" w14:textId="77777777" w:rsidR="003E4FA5" w:rsidRDefault="00000000">
      <w:pPr>
        <w:widowControl w:val="0"/>
        <w:adjustRightInd w:val="0"/>
        <w:snapToGrid w:val="0"/>
        <w:spacing w:beforeLines="50" w:before="120" w:afterLines="50" w:after="120" w:line="360" w:lineRule="auto"/>
        <w:ind w:firstLine="562"/>
        <w:contextualSpacing/>
        <w:rPr>
          <w:rFonts w:ascii="仿宋" w:hAnsi="仿宋" w:cs="仿宋" w:hint="eastAsia"/>
          <w:color w:val="000000" w:themeColor="text1"/>
          <w:szCs w:val="28"/>
          <w:lang w:eastAsia="zh-CN"/>
        </w:rPr>
      </w:pPr>
      <w:r>
        <w:rPr>
          <w:rFonts w:ascii="仿宋" w:hAnsi="仿宋" w:cs="仿宋" w:hint="eastAsia"/>
          <w:b/>
          <w:bCs/>
          <w:color w:val="000000" w:themeColor="text1"/>
          <w:szCs w:val="28"/>
          <w:lang w:eastAsia="zh-CN"/>
        </w:rPr>
        <w:t>案例三：绿萌科技股份有限公司</w:t>
      </w:r>
      <w:r>
        <w:rPr>
          <w:rFonts w:ascii="仿宋" w:hAnsi="仿宋" w:cs="仿宋" w:hint="eastAsia"/>
          <w:color w:val="000000" w:themeColor="text1"/>
          <w:szCs w:val="28"/>
          <w:lang w:eastAsia="zh-CN"/>
        </w:rPr>
        <w:t>。作为国家专精特新重点“小巨人”企业，该公司专注于果蔬智能分选装备的研发与制造。针对企业研发项目多、投入体量高、财税归集繁杂的情况，企业创新构建“制度筑基、核算提质、风控兜底”三位一体合规管理体系，全链条防控涉税风险。</w:t>
      </w:r>
      <w:r>
        <w:rPr>
          <w:rFonts w:ascii="仿宋" w:hAnsi="仿宋" w:cs="仿宋" w:hint="eastAsia"/>
          <w:b/>
          <w:bCs/>
          <w:color w:val="000000" w:themeColor="text1"/>
          <w:szCs w:val="28"/>
          <w:lang w:eastAsia="zh-CN"/>
        </w:rPr>
        <w:t>制度筑基，源头厘清研发边界</w:t>
      </w:r>
      <w:r>
        <w:rPr>
          <w:rFonts w:ascii="仿宋" w:hAnsi="仿宋" w:cs="仿宋" w:hint="eastAsia"/>
          <w:color w:val="000000" w:themeColor="text1"/>
          <w:szCs w:val="28"/>
          <w:lang w:eastAsia="zh-CN"/>
        </w:rPr>
        <w:t>。企业紧扣研发费用加计扣除相关税收政策，结合企业技术攻关实际制定专项研发管理制度，搭建技术、财务跨部门协同审核机制。在项目立项前置开展技术创新性研判，清晰划分实质性创新研发活动与设备常规更新、日常运维等非研发业务边界，从源头杜绝“伪研发”涉税隐患。</w:t>
      </w:r>
      <w:r>
        <w:rPr>
          <w:rFonts w:ascii="仿宋" w:hAnsi="仿宋" w:cs="仿宋" w:hint="eastAsia"/>
          <w:b/>
          <w:bCs/>
          <w:color w:val="000000" w:themeColor="text1"/>
          <w:szCs w:val="28"/>
          <w:lang w:eastAsia="zh-CN"/>
        </w:rPr>
        <w:t>核算提质，数字化精细归集</w:t>
      </w:r>
      <w:r>
        <w:rPr>
          <w:rFonts w:ascii="仿宋" w:hAnsi="仿宋" w:cs="仿宋" w:hint="eastAsia"/>
          <w:color w:val="000000" w:themeColor="text1"/>
          <w:szCs w:val="28"/>
          <w:lang w:eastAsia="zh-CN"/>
        </w:rPr>
        <w:t>。针对研发生产共用人员、研发剩余材料转生产耗用等风险点，依托数字化系统实现精细化核算：研发人员薪酬按工时系统、考勤数据双向核验分摊；已转入生产耗用的剩余材料，据实归集到生产成本，并建立专用台账；规范研发费用辅助账管理，保障账簿、凭证、申报表数据逻辑一致。</w:t>
      </w:r>
      <w:r>
        <w:rPr>
          <w:rFonts w:ascii="仿宋" w:hAnsi="仿宋" w:cs="仿宋" w:hint="eastAsia"/>
          <w:b/>
          <w:bCs/>
          <w:color w:val="000000" w:themeColor="text1"/>
          <w:szCs w:val="28"/>
          <w:lang w:eastAsia="zh-CN"/>
        </w:rPr>
        <w:t>风控兜底，闭环备查管理</w:t>
      </w:r>
      <w:r>
        <w:rPr>
          <w:rFonts w:ascii="仿宋" w:hAnsi="仿宋" w:cs="仿宋" w:hint="eastAsia"/>
          <w:color w:val="000000" w:themeColor="text1"/>
          <w:szCs w:val="28"/>
          <w:lang w:eastAsia="zh-CN"/>
        </w:rPr>
        <w:t>。建立常态化研发费用自查校验机制，定期复核费用归集口径、分摊标准的合规性；对项目立项文书、工时台账、物料领料单据、项目结题报告等全套佐证材料统一归集归档，推行纸质档案、电子档案双重留存模式。依托完备的合规管理体系，企业已连续4年获评纳税缴费信用A级，2025年享受研发费</w:t>
      </w:r>
      <w:r>
        <w:rPr>
          <w:rFonts w:ascii="仿宋" w:hAnsi="仿宋" w:cs="仿宋" w:hint="eastAsia"/>
          <w:color w:val="000000" w:themeColor="text1"/>
          <w:szCs w:val="28"/>
          <w:lang w:eastAsia="zh-CN"/>
        </w:rPr>
        <w:lastRenderedPageBreak/>
        <w:t>用加计扣除金额5408.5万元。</w:t>
      </w:r>
    </w:p>
    <w:p w14:paraId="54246416" w14:textId="77777777" w:rsidR="003E4FA5" w:rsidRDefault="00000000">
      <w:pPr>
        <w:widowControl w:val="0"/>
        <w:adjustRightInd w:val="0"/>
        <w:snapToGrid w:val="0"/>
        <w:spacing w:beforeLines="50" w:before="120" w:afterLines="50" w:after="120" w:line="360" w:lineRule="auto"/>
        <w:ind w:firstLine="562"/>
        <w:contextualSpacing/>
        <w:rPr>
          <w:rFonts w:ascii="仿宋" w:hAnsi="仿宋" w:cs="仿宋" w:hint="eastAsia"/>
          <w:color w:val="000000" w:themeColor="text1"/>
          <w:szCs w:val="28"/>
          <w:lang w:eastAsia="zh-CN"/>
        </w:rPr>
      </w:pPr>
      <w:r>
        <w:rPr>
          <w:rFonts w:ascii="仿宋" w:hAnsi="仿宋" w:cs="仿宋" w:hint="eastAsia"/>
          <w:b/>
          <w:bCs/>
          <w:color w:val="000000" w:themeColor="text1"/>
          <w:szCs w:val="28"/>
          <w:lang w:eastAsia="zh-CN"/>
        </w:rPr>
        <w:t>案例四：江西分宜驱动科技股份有限公司</w:t>
      </w:r>
      <w:r>
        <w:rPr>
          <w:rFonts w:ascii="仿宋" w:hAnsi="仿宋" w:cs="仿宋" w:hint="eastAsia"/>
          <w:color w:val="000000" w:themeColor="text1"/>
          <w:szCs w:val="28"/>
          <w:lang w:eastAsia="zh-CN"/>
        </w:rPr>
        <w:t>。该公司主营工程机械车桥及其配件，拥有5个省级创新平台。为推动研发费用加计扣除全流程合规管理，公司构建了“双审三核四闭环”工作机制。</w:t>
      </w:r>
      <w:r>
        <w:rPr>
          <w:rFonts w:ascii="仿宋" w:hAnsi="仿宋" w:cs="仿宋" w:hint="eastAsia"/>
          <w:b/>
          <w:bCs/>
          <w:color w:val="000000" w:themeColor="text1"/>
          <w:szCs w:val="28"/>
          <w:lang w:eastAsia="zh-CN"/>
        </w:rPr>
        <w:t>“双审”</w:t>
      </w:r>
      <w:r>
        <w:rPr>
          <w:rFonts w:ascii="仿宋" w:hAnsi="仿宋" w:cs="仿宋" w:hint="eastAsia"/>
          <w:color w:val="000000" w:themeColor="text1"/>
          <w:szCs w:val="28"/>
          <w:lang w:eastAsia="zh-CN"/>
        </w:rPr>
        <w:t>即建立“技术＋财务”双审立项界定机制，技术端评判创新性与研发属性，财务端审核预算与政策适用性，精准区分创新研发与常规生产维保。</w:t>
      </w:r>
      <w:r>
        <w:rPr>
          <w:rFonts w:ascii="仿宋" w:hAnsi="仿宋" w:cs="仿宋" w:hint="eastAsia"/>
          <w:b/>
          <w:bCs/>
          <w:color w:val="000000" w:themeColor="text1"/>
          <w:szCs w:val="28"/>
          <w:lang w:eastAsia="zh-CN"/>
        </w:rPr>
        <w:t>“三核”</w:t>
      </w:r>
      <w:r>
        <w:rPr>
          <w:rFonts w:ascii="仿宋" w:hAnsi="仿宋" w:cs="仿宋" w:hint="eastAsia"/>
          <w:color w:val="000000" w:themeColor="text1"/>
          <w:szCs w:val="28"/>
          <w:lang w:eastAsia="zh-CN"/>
        </w:rPr>
        <w:t>即推行“项目专员初审凭证—财务专岗审核政策口径—财务总监季度专项核查”三级复核，联动比对账面数据与申报数据，及时修正口径差异。</w:t>
      </w:r>
      <w:r>
        <w:rPr>
          <w:rFonts w:ascii="仿宋" w:hAnsi="仿宋" w:cs="仿宋" w:hint="eastAsia"/>
          <w:b/>
          <w:bCs/>
          <w:color w:val="000000" w:themeColor="text1"/>
          <w:szCs w:val="28"/>
          <w:lang w:eastAsia="zh-CN"/>
        </w:rPr>
        <w:t>“四闭环”</w:t>
      </w:r>
      <w:r>
        <w:rPr>
          <w:rFonts w:ascii="仿宋" w:hAnsi="仿宋" w:cs="仿宋" w:hint="eastAsia"/>
          <w:color w:val="000000" w:themeColor="text1"/>
          <w:szCs w:val="28"/>
          <w:lang w:eastAsia="zh-CN"/>
        </w:rPr>
        <w:t>覆盖立项、归集、核算、申报全链条。立项环节落实双审留痕；费用归集环节实行“按项目建账、按口径分类”精细管理，按六大类研发支出建立项目辅助台账，研发与生产共用人员及设备按工时合理分摊，严格执行其他相关费用扣除限额；核算环节执行三级复核；申报环节实行“一事一档、全程可溯”管理，归档立项文件、工时记录、专利凭证等，留存不少于10年。2025年，公司享受研发费用加计扣除金额1012万元。2017年以来，公司连续9年获评A级纳税缴费信用等级。</w:t>
      </w:r>
    </w:p>
    <w:p w14:paraId="13208BAB" w14:textId="77777777" w:rsidR="003E4FA5" w:rsidRDefault="00000000">
      <w:pPr>
        <w:widowControl w:val="0"/>
        <w:adjustRightInd w:val="0"/>
        <w:snapToGrid w:val="0"/>
        <w:spacing w:beforeLines="50" w:before="120" w:afterLines="50" w:after="120" w:line="360" w:lineRule="auto"/>
        <w:ind w:firstLine="562"/>
        <w:contextualSpacing/>
        <w:rPr>
          <w:rFonts w:ascii="仿宋" w:hAnsi="仿宋" w:cs="仿宋" w:hint="eastAsia"/>
          <w:color w:val="000000" w:themeColor="text1"/>
          <w:szCs w:val="28"/>
          <w:lang w:eastAsia="zh-CN"/>
        </w:rPr>
      </w:pPr>
      <w:r>
        <w:rPr>
          <w:rFonts w:ascii="仿宋" w:hAnsi="仿宋" w:cs="仿宋" w:hint="eastAsia"/>
          <w:b/>
          <w:bCs/>
          <w:color w:val="000000" w:themeColor="text1"/>
          <w:szCs w:val="28"/>
          <w:lang w:eastAsia="zh-CN"/>
        </w:rPr>
        <w:t>案例五：江西景光电子股份有限公司</w:t>
      </w:r>
      <w:r>
        <w:rPr>
          <w:rFonts w:ascii="仿宋" w:hAnsi="仿宋" w:cs="仿宋" w:hint="eastAsia"/>
          <w:color w:val="000000" w:themeColor="text1"/>
          <w:szCs w:val="28"/>
          <w:lang w:eastAsia="zh-CN"/>
        </w:rPr>
        <w:t>。该公司是专业从事电真空器件研制生产的国家高新技术企业，在制度、核算、风险防控三个维度上发力，将研发管理与税务合规深度融合，构建全流程、标准化、可溯源的内控体系。</w:t>
      </w:r>
      <w:r>
        <w:rPr>
          <w:rFonts w:ascii="仿宋" w:hAnsi="仿宋" w:cs="仿宋" w:hint="eastAsia"/>
          <w:b/>
          <w:bCs/>
          <w:color w:val="000000" w:themeColor="text1"/>
          <w:szCs w:val="28"/>
          <w:lang w:eastAsia="zh-CN"/>
        </w:rPr>
        <w:t>制度架构方面</w:t>
      </w:r>
      <w:r>
        <w:rPr>
          <w:rFonts w:ascii="仿宋" w:hAnsi="仿宋" w:cs="仿宋" w:hint="eastAsia"/>
          <w:color w:val="000000" w:themeColor="text1"/>
          <w:szCs w:val="28"/>
          <w:lang w:eastAsia="zh-CN"/>
        </w:rPr>
        <w:t>，先后制定《研发项目全流程管理办法》《研发费用归集核算细则》《研发加计扣除备查资料管理规范》等，厘清研发、财务、生产部门权责，细化立项、领料、工时统计、费用分摊操作标准。设立研发税务专项岗，统筹政策对接、费用核算、资料归档、申报自查全流程工作，实现研发加计扣除工作标准化、常态化管控。</w:t>
      </w:r>
      <w:r>
        <w:rPr>
          <w:rFonts w:ascii="仿宋" w:hAnsi="仿宋" w:cs="仿宋" w:hint="eastAsia"/>
          <w:b/>
          <w:bCs/>
          <w:color w:val="000000" w:themeColor="text1"/>
          <w:szCs w:val="28"/>
          <w:lang w:eastAsia="zh-CN"/>
        </w:rPr>
        <w:t>精准核算方面</w:t>
      </w:r>
      <w:r>
        <w:rPr>
          <w:rFonts w:ascii="仿宋" w:hAnsi="仿宋" w:cs="仿宋" w:hint="eastAsia"/>
          <w:color w:val="000000" w:themeColor="text1"/>
          <w:szCs w:val="28"/>
          <w:lang w:eastAsia="zh-CN"/>
        </w:rPr>
        <w:t>，建立“研发报项目、财务核归集”跨部门联动机制，研发部门负责项目立项备案、科研工时登记、实验耗材领用台账管理，财务部门对照税收政策口径，区分研发与生产支出，分项目建立研发支出辅助账，逐笔核对凭证单据，确</w:t>
      </w:r>
      <w:r>
        <w:rPr>
          <w:rFonts w:ascii="仿宋" w:hAnsi="仿宋" w:cs="仿宋" w:hint="eastAsia"/>
          <w:color w:val="000000" w:themeColor="text1"/>
          <w:szCs w:val="28"/>
          <w:lang w:eastAsia="zh-CN"/>
        </w:rPr>
        <w:lastRenderedPageBreak/>
        <w:t>保口径统一、精准匹配，杜绝超范围归集、费用混同等问题。风险防控方面，依托数字系统打通研发、财务、资产管理数据通道，常态化开展数据交叉比对，对数据偏差第一时间推送专岗，由专岗逐一核实原因、限期整改、补正资料，实现风险前置防控、动态清零。同时完整留存立项资料、过程台账、费用凭证、研发成果等全套备查资料，确保每一笔研发费用真实可溯、有据可查。近3年该企业享受研发费用加计扣除金额达1945万元，企业将节省资金持续投入研发，实现税收贡献与技术创新的良性循环，连续10年获评A级纳税信用等级。</w:t>
      </w:r>
    </w:p>
    <w:p w14:paraId="629AD345" w14:textId="77777777" w:rsidR="003E4FA5"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themeColor="text1"/>
          <w:szCs w:val="28"/>
          <w:lang w:eastAsia="zh-CN"/>
        </w:rPr>
      </w:pPr>
      <w:r>
        <w:rPr>
          <w:rFonts w:ascii="仿宋" w:hAnsi="仿宋" w:cs="仿宋" w:hint="eastAsia"/>
          <w:color w:val="000000" w:themeColor="text1"/>
          <w:szCs w:val="28"/>
          <w:lang w:eastAsia="zh-CN"/>
        </w:rPr>
        <w:t>鑫通机械财务资财中心副总监陈艳表示：“机械制造讲究齿轮精准咬合、部件严丝合缝，税务合规亦是如此。让每一笔研发投入都分得清、算得准、归得对，是合规享受政策红利的前提，也是企业行稳致远的保障。”谈及下一步，她表示公司继续把合规要求嵌入研发、生产、销售全链条，对标国际先进标准完善内控体系，让政策红利真正转化为推动企业创新的持续动力。</w:t>
      </w:r>
    </w:p>
    <w:p w14:paraId="68A7E816" w14:textId="77777777" w:rsidR="003E4FA5"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themeColor="text1"/>
          <w:szCs w:val="28"/>
          <w:lang w:eastAsia="zh-CN"/>
        </w:rPr>
      </w:pPr>
      <w:r>
        <w:rPr>
          <w:rFonts w:ascii="仿宋" w:hAnsi="仿宋" w:cs="仿宋" w:hint="eastAsia"/>
          <w:color w:val="000000" w:themeColor="text1"/>
          <w:szCs w:val="28"/>
          <w:lang w:eastAsia="zh-CN"/>
        </w:rPr>
        <w:t>江西省科学技术厅资源统计处负责人肖勇表示，研发费用加计扣除是国家为鼓励企业加大研发投入、支持科技创新推出的重要税收优惠政策，也是我省实施创新驱动发展战略、强化企业创新主体地位的重要抓手。此次发布的五家典型案例，展现了合规经营与创新发展相互促进的生动实践。下一步，省科技厅与省税务局将持续深化协作，不断加大科技型企业培育和合规引导力度，让政策红利精准转化为创新动能，推动企业以合规促发展、以创新强实力，为江西科技进步和经济高质量发展注入更强动力。</w:t>
      </w:r>
    </w:p>
    <w:p w14:paraId="0C7F9506" w14:textId="77777777" w:rsidR="003E4FA5" w:rsidRDefault="00000000">
      <w:pPr>
        <w:pStyle w:val="a6"/>
        <w:spacing w:beforeLines="50" w:before="120" w:beforeAutospacing="0" w:afterLines="50" w:after="120" w:afterAutospacing="0"/>
        <w:ind w:firstLine="560"/>
        <w:jc w:val="right"/>
        <w:rPr>
          <w:rFonts w:ascii="仿宋" w:hAnsi="仿宋" w:cs="仿宋" w:hint="eastAsia"/>
          <w:color w:val="000000" w:themeColor="text1"/>
          <w:sz w:val="28"/>
          <w:szCs w:val="28"/>
          <w:shd w:val="clear" w:color="auto" w:fill="FFFFFF"/>
        </w:rPr>
      </w:pPr>
      <w:r>
        <w:rPr>
          <w:rFonts w:ascii="仿宋" w:hAnsi="仿宋" w:cs="仿宋"/>
          <w:color w:val="000000" w:themeColor="text1"/>
          <w:sz w:val="28"/>
          <w:szCs w:val="28"/>
          <w:shd w:val="clear" w:color="auto" w:fill="FFFFFF"/>
        </w:rPr>
        <w:t>来源：中国税务报</w:t>
      </w:r>
    </w:p>
    <w:p w14:paraId="1584B26B" w14:textId="77777777" w:rsidR="003E4FA5" w:rsidRDefault="00000000">
      <w:pPr>
        <w:pStyle w:val="a6"/>
        <w:spacing w:beforeLines="50" w:before="120" w:beforeAutospacing="0" w:afterLines="50" w:after="120" w:afterAutospacing="0"/>
        <w:ind w:firstLine="560"/>
        <w:jc w:val="right"/>
        <w:rPr>
          <w:rFonts w:ascii="仿宋" w:hAnsi="仿宋" w:cs="仿宋" w:hint="eastAsia"/>
          <w:color w:val="000000" w:themeColor="text1"/>
          <w:sz w:val="28"/>
          <w:szCs w:val="28"/>
          <w:shd w:val="clear" w:color="auto" w:fill="FFFFFF"/>
        </w:rPr>
      </w:pPr>
      <w:r>
        <w:rPr>
          <w:rFonts w:ascii="仿宋" w:hAnsi="仿宋" w:cs="仿宋"/>
          <w:color w:val="000000" w:themeColor="text1"/>
          <w:sz w:val="28"/>
          <w:szCs w:val="28"/>
          <w:shd w:val="clear" w:color="auto" w:fill="FFFFFF"/>
        </w:rPr>
        <w:t>时间：2026-0</w:t>
      </w:r>
      <w:r>
        <w:rPr>
          <w:rFonts w:ascii="仿宋" w:hAnsi="仿宋" w:cs="仿宋" w:hint="eastAsia"/>
          <w:color w:val="000000" w:themeColor="text1"/>
          <w:sz w:val="28"/>
          <w:szCs w:val="28"/>
          <w:shd w:val="clear" w:color="auto" w:fill="FFFFFF"/>
        </w:rPr>
        <w:t>9</w:t>
      </w:r>
      <w:r>
        <w:rPr>
          <w:rFonts w:ascii="仿宋" w:hAnsi="仿宋" w:cs="仿宋"/>
          <w:color w:val="000000" w:themeColor="text1"/>
          <w:sz w:val="28"/>
          <w:szCs w:val="28"/>
          <w:shd w:val="clear" w:color="auto" w:fill="FFFFFF"/>
        </w:rPr>
        <w:t>-</w:t>
      </w:r>
      <w:r>
        <w:rPr>
          <w:rFonts w:ascii="仿宋" w:hAnsi="仿宋" w:cs="仿宋" w:hint="eastAsia"/>
          <w:color w:val="000000" w:themeColor="text1"/>
          <w:sz w:val="28"/>
          <w:szCs w:val="28"/>
          <w:shd w:val="clear" w:color="auto" w:fill="FFFFFF"/>
        </w:rPr>
        <w:t>28</w:t>
      </w:r>
    </w:p>
    <w:p w14:paraId="1EBD5EEE" w14:textId="77777777" w:rsidR="003E4FA5" w:rsidRDefault="00000000">
      <w:pPr>
        <w:pStyle w:val="a6"/>
        <w:wordWrap w:val="0"/>
        <w:spacing w:beforeLines="50" w:before="120" w:beforeAutospacing="0" w:afterLines="50" w:after="120" w:afterAutospacing="0"/>
        <w:ind w:firstLineChars="0" w:firstLine="0"/>
        <w:jc w:val="both"/>
        <w:rPr>
          <w:rFonts w:ascii="仿宋" w:hAnsi="仿宋" w:cs="仿宋" w:hint="eastAsia"/>
          <w:color w:val="000000" w:themeColor="text1"/>
          <w:sz w:val="28"/>
          <w:szCs w:val="28"/>
        </w:rPr>
      </w:pPr>
      <w:r>
        <w:rPr>
          <w:rFonts w:ascii="仿宋" w:hAnsi="仿宋" w:cs="仿宋" w:hint="eastAsia"/>
          <w:color w:val="000000" w:themeColor="text1"/>
          <w:sz w:val="28"/>
          <w:szCs w:val="28"/>
        </w:rPr>
        <w:t>链接：https://www.chinatax.gov.cn/chinatax/c103110/c5252670/content.html</w:t>
      </w:r>
    </w:p>
    <w:p w14:paraId="61EFA2CE" w14:textId="77777777" w:rsidR="003E4FA5" w:rsidRDefault="00000000">
      <w:pPr>
        <w:pStyle w:val="2"/>
        <w:spacing w:before="140" w:after="140" w:line="360" w:lineRule="auto"/>
        <w:ind w:firstLine="600"/>
        <w:rPr>
          <w:rFonts w:ascii="仿宋" w:hAnsi="仿宋" w:cs="仿宋" w:hint="eastAsia"/>
          <w:color w:val="000000" w:themeColor="text1"/>
          <w:lang w:eastAsia="zh-CN"/>
        </w:rPr>
      </w:pPr>
      <w:bookmarkStart w:id="59" w:name="_Toc8737"/>
      <w:r>
        <w:rPr>
          <w:rFonts w:ascii="仿宋" w:hAnsi="仿宋" w:cs="仿宋" w:hint="eastAsia"/>
          <w:color w:val="000000" w:themeColor="text1"/>
          <w:lang w:eastAsia="zh-CN"/>
        </w:rPr>
        <w:lastRenderedPageBreak/>
        <w:t>（二）</w:t>
      </w:r>
      <w:bookmarkEnd w:id="59"/>
      <w:r>
        <w:rPr>
          <w:rFonts w:ascii="仿宋" w:hAnsi="仿宋" w:cs="仿宋" w:hint="eastAsia"/>
          <w:color w:val="000000" w:themeColor="text1"/>
          <w:lang w:eastAsia="zh-CN"/>
        </w:rPr>
        <w:t>如何合规享受研发费用加计扣除优惠政策？专家详解四要点</w:t>
      </w:r>
    </w:p>
    <w:p w14:paraId="4145AA94" w14:textId="77777777" w:rsidR="003E4FA5"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themeColor="text1"/>
          <w:szCs w:val="28"/>
          <w:lang w:eastAsia="zh-CN"/>
        </w:rPr>
      </w:pPr>
      <w:r>
        <w:rPr>
          <w:rFonts w:ascii="仿宋" w:hAnsi="仿宋" w:cs="仿宋" w:hint="eastAsia"/>
          <w:color w:val="000000" w:themeColor="text1"/>
          <w:szCs w:val="28"/>
          <w:lang w:eastAsia="zh-CN"/>
        </w:rPr>
        <w:t>研发费用加计扣除优惠政策，正日益成为众多企业科技创新路上的“加油站”。江西财经大学副校长李春根表示，这项政策的核心逻辑清晰明了——企业为开发新技术、新产品、新工艺而发生的研发费用，在按规定据实扣除的基础上，还可以按实际发生额的一定比例在税前加计扣除。自2023年1月1日起，未形成无形资产计入当期损益的研发费用，可按100%加计扣除；形成无形资产的，按无形资产成本的200%在税前摊销。</w:t>
      </w:r>
    </w:p>
    <w:p w14:paraId="28ADBF44" w14:textId="77777777" w:rsidR="003E4FA5"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themeColor="text1"/>
          <w:szCs w:val="28"/>
          <w:lang w:eastAsia="zh-CN"/>
        </w:rPr>
      </w:pPr>
      <w:r>
        <w:rPr>
          <w:rFonts w:ascii="仿宋" w:hAnsi="仿宋" w:cs="仿宋" w:hint="eastAsia"/>
          <w:color w:val="000000" w:themeColor="text1"/>
          <w:szCs w:val="28"/>
          <w:lang w:eastAsia="zh-CN"/>
        </w:rPr>
        <w:t>真金白银的政策红利持续释放，如何规范、准确地享受这一优惠，成为越来越多企业关注的焦点。李春根指出，真实研发、真实支出、真实申报，始终是享受优惠不可动摇的底线。近日，江西省税务、科技部门联合发布五家合规享受研发费用加计扣除优惠政策典型案例，相关企业做法覆盖研发立项到资料留存全流程，为经营主体规范涉税管理提供了有益参考。具体到操作层面，企业需要把好以下四道关口。</w:t>
      </w:r>
    </w:p>
    <w:p w14:paraId="2C8F62D4" w14:textId="77777777" w:rsidR="003E4FA5" w:rsidRDefault="00000000">
      <w:pPr>
        <w:widowControl w:val="0"/>
        <w:adjustRightInd w:val="0"/>
        <w:snapToGrid w:val="0"/>
        <w:spacing w:beforeLines="50" w:before="120" w:afterLines="50" w:after="120" w:line="360" w:lineRule="auto"/>
        <w:ind w:firstLine="562"/>
        <w:contextualSpacing/>
        <w:rPr>
          <w:rFonts w:ascii="仿宋" w:hAnsi="仿宋" w:cs="仿宋" w:hint="eastAsia"/>
          <w:color w:val="000000" w:themeColor="text1"/>
          <w:szCs w:val="28"/>
          <w:lang w:eastAsia="zh-CN"/>
        </w:rPr>
      </w:pPr>
      <w:r>
        <w:rPr>
          <w:rFonts w:ascii="仿宋" w:hAnsi="仿宋" w:cs="仿宋" w:hint="eastAsia"/>
          <w:b/>
          <w:bCs/>
          <w:color w:val="000000" w:themeColor="text1"/>
          <w:szCs w:val="28"/>
          <w:lang w:eastAsia="zh-CN"/>
        </w:rPr>
        <w:t>其一，要把好研发活动的“认定关”</w:t>
      </w:r>
      <w:r>
        <w:rPr>
          <w:rFonts w:ascii="仿宋" w:hAnsi="仿宋" w:cs="仿宋" w:hint="eastAsia"/>
          <w:color w:val="000000" w:themeColor="text1"/>
          <w:szCs w:val="28"/>
          <w:lang w:eastAsia="zh-CN"/>
        </w:rPr>
        <w:t>。企业应从立项阶段就建立合规审查机制，准确判断每一个项目是否属于真正的研发活动。研发活动有清晰的认定标准——必须具有明确的创新目标、系统的组织形式，且研发结果具有不确定性。产品常规升级、科研成果直接应用、市场调研、常规质量控制测试等活动，均不属于可加计扣除的研发活动范围。此外，烟草制造业、住宿和餐饮业、批发和零售业、房地产业、租赁和商务服务业、娱乐业等负面清单行业，即便设立了研发部门、注册了研发项目，也不在优惠范围之内。企业应对照政策文件和科技部、税务总局发布的研发项目鉴定案例，在项目启动前就把准方向，避免后续申报出现根本性偏差，从源头杜绝“伪研发”涉税隐患。</w:t>
      </w:r>
    </w:p>
    <w:p w14:paraId="13CF31AA" w14:textId="77777777" w:rsidR="003E4FA5" w:rsidRDefault="00000000">
      <w:pPr>
        <w:widowControl w:val="0"/>
        <w:adjustRightInd w:val="0"/>
        <w:snapToGrid w:val="0"/>
        <w:spacing w:beforeLines="50" w:before="120" w:afterLines="50" w:after="120" w:line="360" w:lineRule="auto"/>
        <w:ind w:firstLine="562"/>
        <w:contextualSpacing/>
        <w:rPr>
          <w:rFonts w:ascii="仿宋" w:hAnsi="仿宋" w:cs="仿宋" w:hint="eastAsia"/>
          <w:color w:val="000000" w:themeColor="text1"/>
          <w:szCs w:val="28"/>
          <w:lang w:eastAsia="zh-CN"/>
        </w:rPr>
      </w:pPr>
      <w:r>
        <w:rPr>
          <w:rFonts w:ascii="仿宋" w:hAnsi="仿宋" w:cs="仿宋" w:hint="eastAsia"/>
          <w:b/>
          <w:bCs/>
          <w:color w:val="000000" w:themeColor="text1"/>
          <w:szCs w:val="28"/>
          <w:lang w:eastAsia="zh-CN"/>
        </w:rPr>
        <w:t>其二，要把好研发费用的“归集关”</w:t>
      </w:r>
      <w:r>
        <w:rPr>
          <w:rFonts w:ascii="仿宋" w:hAnsi="仿宋" w:cs="仿宋" w:hint="eastAsia"/>
          <w:color w:val="000000" w:themeColor="text1"/>
          <w:szCs w:val="28"/>
          <w:lang w:eastAsia="zh-CN"/>
        </w:rPr>
        <w:t>。可加计扣除的研发费用主要包括人员人工费用、直接投入费用、折旧费用、无形资产摊销、新产品设计</w:t>
      </w:r>
      <w:r>
        <w:rPr>
          <w:rFonts w:ascii="仿宋" w:hAnsi="仿宋" w:cs="仿宋" w:hint="eastAsia"/>
          <w:color w:val="000000" w:themeColor="text1"/>
          <w:szCs w:val="28"/>
          <w:lang w:eastAsia="zh-CN"/>
        </w:rPr>
        <w:lastRenderedPageBreak/>
        <w:t>费、其他相关费用等。企业应对研发费用和生产经营费用分别核算、准确归集，按研发项目设置辅助账，确保研发费用核算真实、准确、完整。在各类费用中，人员人工费用的核算尤其需要审慎对待。可加计扣除的人员人工费用，仅限于直接从事研发活动的人员，且必须是实际从事研发工作时间对应的薪酬部分。值得关注的另一种典型情形是生产与研发共用资源，设备、人员等在生产和研发之间共用的，必须按合理方法进行分摊，不能将全部成本归入研发支出。</w:t>
      </w:r>
    </w:p>
    <w:p w14:paraId="0EB107A6" w14:textId="77777777" w:rsidR="003E4FA5" w:rsidRDefault="00000000">
      <w:pPr>
        <w:widowControl w:val="0"/>
        <w:adjustRightInd w:val="0"/>
        <w:snapToGrid w:val="0"/>
        <w:spacing w:beforeLines="50" w:before="120" w:afterLines="50" w:after="120" w:line="360" w:lineRule="auto"/>
        <w:ind w:firstLine="562"/>
        <w:contextualSpacing/>
        <w:rPr>
          <w:rFonts w:ascii="仿宋" w:hAnsi="仿宋" w:cs="仿宋" w:hint="eastAsia"/>
          <w:color w:val="000000" w:themeColor="text1"/>
          <w:szCs w:val="28"/>
          <w:lang w:eastAsia="zh-CN"/>
        </w:rPr>
      </w:pPr>
      <w:r>
        <w:rPr>
          <w:rFonts w:ascii="仿宋" w:hAnsi="仿宋" w:cs="仿宋" w:hint="eastAsia"/>
          <w:b/>
          <w:bCs/>
          <w:color w:val="000000" w:themeColor="text1"/>
          <w:szCs w:val="28"/>
          <w:lang w:eastAsia="zh-CN"/>
        </w:rPr>
        <w:t>其三，要把好委托研发的“边界关”</w:t>
      </w:r>
      <w:r>
        <w:rPr>
          <w:rFonts w:ascii="仿宋" w:hAnsi="仿宋" w:cs="仿宋" w:hint="eastAsia"/>
          <w:color w:val="000000" w:themeColor="text1"/>
          <w:szCs w:val="28"/>
          <w:lang w:eastAsia="zh-CN"/>
        </w:rPr>
        <w:t>。委托研发与购买现成技术成果，两者在税务处理上有本质区别。委托研发合同必须约定具体研发内容、技术指标、验收标准等，并在科技行政主管部门完成登记手续。如果一份合同的实质是购买既有的技术成果，就应作为外购无形资产进行会计处理、分期摊销，不能享受加计扣除。委托研发的费用基数同样有明确规定——境内委托按实际发生额的80%计入委托方研发费用并计算加计扣除；委托境外机构的，按80%计入委托境外研发费用，且不超过境内符合条件的研发费用三分之二的部分方可加计扣除。超出部分不得申报。企业在签订合同时就应准确判断交易性质，并按要求完成登记手续。</w:t>
      </w:r>
    </w:p>
    <w:p w14:paraId="387F2A52" w14:textId="77777777" w:rsidR="003E4FA5" w:rsidRDefault="00000000">
      <w:pPr>
        <w:widowControl w:val="0"/>
        <w:adjustRightInd w:val="0"/>
        <w:snapToGrid w:val="0"/>
        <w:spacing w:beforeLines="50" w:before="120" w:afterLines="50" w:after="120" w:line="360" w:lineRule="auto"/>
        <w:ind w:firstLine="562"/>
        <w:contextualSpacing/>
        <w:rPr>
          <w:rFonts w:ascii="仿宋" w:hAnsi="仿宋" w:cs="仿宋" w:hint="eastAsia"/>
          <w:color w:val="000000" w:themeColor="text1"/>
          <w:szCs w:val="28"/>
          <w:lang w:eastAsia="zh-CN"/>
        </w:rPr>
      </w:pPr>
      <w:r>
        <w:rPr>
          <w:rFonts w:ascii="仿宋" w:hAnsi="仿宋" w:cs="仿宋" w:hint="eastAsia"/>
          <w:b/>
          <w:bCs/>
          <w:color w:val="000000" w:themeColor="text1"/>
          <w:szCs w:val="28"/>
          <w:lang w:eastAsia="zh-CN"/>
        </w:rPr>
        <w:t>其四，要把好申报资料的“留存关”</w:t>
      </w:r>
      <w:r>
        <w:rPr>
          <w:rFonts w:ascii="仿宋" w:hAnsi="仿宋" w:cs="仿宋" w:hint="eastAsia"/>
          <w:color w:val="000000" w:themeColor="text1"/>
          <w:szCs w:val="28"/>
          <w:lang w:eastAsia="zh-CN"/>
        </w:rPr>
        <w:t>。当前，研发费用加计扣除已全面实行“真实发生、自行判别、申报享受、相关资料留存备查”的办理方式。企业无需事前备案，通过电子税务局即可完成申报，但“自行判别”意味着企业对申报的真实性、准确性承担全部责任。企业应妥善保管研发项目立项决议、研发人员名单及工时记录、物料领用单据、设备使用记录、费用分配表、研发成果证明等佐证材料。值得关注的是，税务部门在核查时不仅关注凭证是否齐全，更会对各项支出的合理性进行分析。因此，企业应规范区分研发支出与生产经营支出，完整留存各类分摊依据与原始凭据，确保任何时候有据可查、经得起检验。</w:t>
      </w:r>
    </w:p>
    <w:p w14:paraId="01875C6B" w14:textId="77777777" w:rsidR="003E4FA5"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themeColor="text1"/>
          <w:szCs w:val="28"/>
          <w:shd w:val="clear" w:color="auto" w:fill="FFFFFF"/>
          <w:lang w:eastAsia="zh-CN"/>
        </w:rPr>
      </w:pPr>
      <w:r>
        <w:rPr>
          <w:rFonts w:ascii="仿宋" w:hAnsi="仿宋" w:cs="仿宋" w:hint="eastAsia"/>
          <w:color w:val="000000" w:themeColor="text1"/>
          <w:szCs w:val="28"/>
          <w:lang w:eastAsia="zh-CN"/>
        </w:rPr>
        <w:t>从更宏观的视角看，李春根认为，研发费用加计扣除政策的深层意义</w:t>
      </w:r>
      <w:r>
        <w:rPr>
          <w:rFonts w:ascii="仿宋" w:hAnsi="仿宋" w:cs="仿宋" w:hint="eastAsia"/>
          <w:color w:val="000000" w:themeColor="text1"/>
          <w:szCs w:val="28"/>
          <w:lang w:eastAsia="zh-CN"/>
        </w:rPr>
        <w:lastRenderedPageBreak/>
        <w:t>在于，以税收优惠为杠杆，引导更多资源投向真正的创新活动，推动形成鼓励创新、支持创新的良好生态。五家典型案例表明，合规与创新可以相互成就，企业完全能够走通“合规享红利、以红利助研发、以研发强合规”的良性循环之路。当更多企业以真实研发、规范核算回馈政策信任，国家便多一分支持创新的底气，市场便多一分公平透明的底色。让合规意识贯穿研发管理全流程，方能实现政策红利的充分释放与创新之路的行稳致远。</w:t>
      </w:r>
    </w:p>
    <w:p w14:paraId="40F11311" w14:textId="77777777" w:rsidR="003E4FA5" w:rsidRDefault="00000000">
      <w:pPr>
        <w:pStyle w:val="a6"/>
        <w:spacing w:beforeLines="50" w:before="120" w:beforeAutospacing="0" w:afterLines="50" w:after="120" w:afterAutospacing="0"/>
        <w:ind w:firstLine="560"/>
        <w:jc w:val="right"/>
        <w:rPr>
          <w:rFonts w:ascii="仿宋" w:hAnsi="仿宋" w:cs="仿宋" w:hint="eastAsia"/>
          <w:color w:val="000000" w:themeColor="text1"/>
          <w:sz w:val="28"/>
          <w:szCs w:val="28"/>
          <w:shd w:val="clear" w:color="auto" w:fill="FFFFFF"/>
        </w:rPr>
      </w:pPr>
      <w:r>
        <w:rPr>
          <w:rFonts w:ascii="仿宋" w:hAnsi="仿宋" w:cs="仿宋"/>
          <w:color w:val="000000" w:themeColor="text1"/>
          <w:sz w:val="28"/>
          <w:szCs w:val="28"/>
          <w:shd w:val="clear" w:color="auto" w:fill="FFFFFF"/>
        </w:rPr>
        <w:t>来源：中国税务报</w:t>
      </w:r>
    </w:p>
    <w:p w14:paraId="7B7554BB" w14:textId="77777777" w:rsidR="003E4FA5" w:rsidRDefault="00000000">
      <w:pPr>
        <w:widowControl w:val="0"/>
        <w:adjustRightInd w:val="0"/>
        <w:snapToGrid w:val="0"/>
        <w:spacing w:beforeLines="50" w:before="120" w:afterLines="50" w:after="120" w:line="360" w:lineRule="auto"/>
        <w:ind w:firstLine="560"/>
        <w:contextualSpacing/>
        <w:jc w:val="right"/>
        <w:rPr>
          <w:rFonts w:ascii="仿宋" w:hAnsi="仿宋" w:cs="仿宋" w:hint="eastAsia"/>
          <w:color w:val="000000" w:themeColor="text1"/>
          <w:szCs w:val="28"/>
          <w:shd w:val="clear" w:color="auto" w:fill="FFFFFF"/>
          <w:lang w:eastAsia="zh-CN"/>
        </w:rPr>
      </w:pPr>
      <w:r>
        <w:rPr>
          <w:rFonts w:ascii="仿宋" w:hAnsi="仿宋" w:cs="仿宋"/>
          <w:color w:val="000000" w:themeColor="text1"/>
          <w:szCs w:val="28"/>
          <w:shd w:val="clear" w:color="auto" w:fill="FFFFFF"/>
          <w:lang w:eastAsia="zh-CN"/>
        </w:rPr>
        <w:t>时间：2026-0</w:t>
      </w:r>
      <w:r>
        <w:rPr>
          <w:rFonts w:ascii="仿宋" w:hAnsi="仿宋" w:cs="仿宋" w:hint="eastAsia"/>
          <w:color w:val="000000" w:themeColor="text1"/>
          <w:szCs w:val="28"/>
          <w:shd w:val="clear" w:color="auto" w:fill="FFFFFF"/>
          <w:lang w:eastAsia="zh-CN"/>
        </w:rPr>
        <w:t>9</w:t>
      </w:r>
      <w:r>
        <w:rPr>
          <w:rFonts w:ascii="仿宋" w:hAnsi="仿宋" w:cs="仿宋"/>
          <w:color w:val="000000" w:themeColor="text1"/>
          <w:szCs w:val="28"/>
          <w:shd w:val="clear" w:color="auto" w:fill="FFFFFF"/>
          <w:lang w:eastAsia="zh-CN"/>
        </w:rPr>
        <w:t>-</w:t>
      </w:r>
      <w:r>
        <w:rPr>
          <w:rFonts w:ascii="仿宋" w:hAnsi="仿宋" w:cs="仿宋" w:hint="eastAsia"/>
          <w:color w:val="000000" w:themeColor="text1"/>
          <w:szCs w:val="28"/>
          <w:shd w:val="clear" w:color="auto" w:fill="FFFFFF"/>
          <w:lang w:eastAsia="zh-CN"/>
        </w:rPr>
        <w:t>28</w:t>
      </w:r>
    </w:p>
    <w:p w14:paraId="5F408244" w14:textId="77777777" w:rsidR="003E4FA5" w:rsidRDefault="00000000">
      <w:pPr>
        <w:widowControl w:val="0"/>
        <w:wordWrap w:val="0"/>
        <w:adjustRightInd w:val="0"/>
        <w:snapToGrid w:val="0"/>
        <w:spacing w:beforeLines="50" w:before="120" w:afterLines="50" w:after="120" w:line="360" w:lineRule="auto"/>
        <w:ind w:firstLineChars="0" w:firstLine="0"/>
        <w:contextualSpacing/>
        <w:rPr>
          <w:rFonts w:ascii="仿宋" w:hAnsi="仿宋" w:cs="仿宋" w:hint="eastAsia"/>
          <w:color w:val="000000" w:themeColor="text1"/>
          <w:szCs w:val="28"/>
          <w:shd w:val="clear" w:color="auto" w:fill="FFFFFF"/>
          <w:lang w:eastAsia="zh-CN"/>
        </w:rPr>
      </w:pPr>
      <w:r>
        <w:rPr>
          <w:rFonts w:ascii="仿宋" w:hAnsi="仿宋" w:cs="仿宋" w:hint="eastAsia"/>
          <w:color w:val="000000" w:themeColor="text1"/>
          <w:szCs w:val="28"/>
          <w:shd w:val="clear" w:color="auto" w:fill="FFFFFF"/>
          <w:lang w:eastAsia="zh-CN"/>
        </w:rPr>
        <w:t>链接：https://www.chinatax.gov.cn/chinatax/c103110/c5252669/content.html</w:t>
      </w:r>
    </w:p>
    <w:p w14:paraId="48D2601E" w14:textId="77777777" w:rsidR="003E4FA5" w:rsidRDefault="003E4FA5">
      <w:pPr>
        <w:widowControl w:val="0"/>
        <w:adjustRightInd w:val="0"/>
        <w:snapToGrid w:val="0"/>
        <w:spacing w:beforeLines="50" w:before="120" w:afterLines="50" w:after="120"/>
        <w:ind w:firstLineChars="0" w:firstLine="0"/>
        <w:contextualSpacing/>
        <w:rPr>
          <w:rFonts w:ascii="仿宋" w:hAnsi="仿宋" w:cs="仿宋" w:hint="eastAsia"/>
          <w:color w:val="000000" w:themeColor="text1"/>
          <w:szCs w:val="28"/>
          <w:shd w:val="clear" w:color="auto" w:fill="FFFFFF"/>
          <w:lang w:eastAsia="zh-CN"/>
        </w:rPr>
      </w:pPr>
    </w:p>
    <w:p w14:paraId="49BE2A93" w14:textId="77777777" w:rsidR="003E4FA5" w:rsidRDefault="00000000">
      <w:pPr>
        <w:kinsoku w:val="0"/>
        <w:autoSpaceDE w:val="0"/>
        <w:autoSpaceDN w:val="0"/>
        <w:adjustRightInd w:val="0"/>
        <w:snapToGrid w:val="0"/>
        <w:spacing w:beforeLines="50" w:before="120" w:afterLines="50" w:after="120"/>
        <w:ind w:firstLineChars="0" w:firstLine="0"/>
        <w:jc w:val="left"/>
        <w:textAlignment w:val="baseline"/>
        <w:rPr>
          <w:rFonts w:ascii="楷体" w:eastAsia="楷体" w:hAnsi="楷体" w:cs="楷体" w:hint="eastAsia"/>
          <w:snapToGrid w:val="0"/>
          <w:color w:val="000000" w:themeColor="text1"/>
          <w:szCs w:val="28"/>
          <w:lang w:eastAsia="zh-CN"/>
        </w:rPr>
      </w:pPr>
      <w:r>
        <w:rPr>
          <w:rFonts w:ascii="楷体" w:eastAsia="楷体" w:hAnsi="楷体" w:cs="楷体" w:hint="eastAsia"/>
          <w:snapToGrid w:val="0"/>
          <w:color w:val="000000" w:themeColor="text1"/>
          <w:szCs w:val="28"/>
          <w:lang w:eastAsia="zh-CN"/>
        </w:rPr>
        <w:t>本期税法速递编写小组</w:t>
      </w:r>
    </w:p>
    <w:p w14:paraId="1F7434C7" w14:textId="77777777" w:rsidR="003E4FA5" w:rsidRDefault="00000000">
      <w:pPr>
        <w:kinsoku w:val="0"/>
        <w:autoSpaceDE w:val="0"/>
        <w:autoSpaceDN w:val="0"/>
        <w:adjustRightInd w:val="0"/>
        <w:snapToGrid w:val="0"/>
        <w:spacing w:beforeLines="50" w:before="120" w:afterLines="50" w:after="120"/>
        <w:ind w:firstLineChars="0" w:firstLine="0"/>
        <w:jc w:val="left"/>
        <w:textAlignment w:val="baseline"/>
        <w:rPr>
          <w:rFonts w:ascii="楷体" w:eastAsia="楷体" w:hAnsi="楷体" w:cs="楷体" w:hint="eastAsia"/>
          <w:snapToGrid w:val="0"/>
          <w:color w:val="000000" w:themeColor="text1"/>
          <w:szCs w:val="28"/>
          <w:lang w:eastAsia="zh-CN"/>
        </w:rPr>
      </w:pPr>
      <w:r>
        <w:rPr>
          <w:rFonts w:ascii="楷体" w:eastAsia="楷体" w:hAnsi="楷体" w:cs="楷体" w:hint="eastAsia"/>
          <w:snapToGrid w:val="0"/>
          <w:color w:val="000000" w:themeColor="text1"/>
          <w:szCs w:val="28"/>
          <w:lang w:eastAsia="zh-CN"/>
        </w:rPr>
        <w:t>总编：李鹏翔</w:t>
      </w:r>
    </w:p>
    <w:p w14:paraId="481974EF" w14:textId="77777777" w:rsidR="003E4FA5" w:rsidRDefault="00000000">
      <w:pPr>
        <w:kinsoku w:val="0"/>
        <w:autoSpaceDE w:val="0"/>
        <w:autoSpaceDN w:val="0"/>
        <w:adjustRightInd w:val="0"/>
        <w:snapToGrid w:val="0"/>
        <w:spacing w:beforeLines="50" w:before="120" w:afterLines="50" w:after="120"/>
        <w:ind w:firstLineChars="0" w:firstLine="0"/>
        <w:jc w:val="left"/>
        <w:textAlignment w:val="baseline"/>
        <w:rPr>
          <w:rFonts w:ascii="楷体" w:eastAsia="楷体" w:hAnsi="楷体" w:cs="楷体" w:hint="eastAsia"/>
          <w:snapToGrid w:val="0"/>
          <w:color w:val="000000" w:themeColor="text1"/>
          <w:szCs w:val="28"/>
          <w:lang w:eastAsia="zh-CN"/>
        </w:rPr>
      </w:pPr>
      <w:r>
        <w:rPr>
          <w:rFonts w:ascii="楷体" w:eastAsia="楷体" w:hAnsi="楷体" w:cs="楷体" w:hint="eastAsia"/>
          <w:snapToGrid w:val="0"/>
          <w:color w:val="000000" w:themeColor="text1"/>
          <w:szCs w:val="28"/>
          <w:lang w:eastAsia="zh-CN"/>
        </w:rPr>
        <w:t>复审：曾淑娟</w:t>
      </w:r>
    </w:p>
    <w:p w14:paraId="13A7C8F9" w14:textId="77777777" w:rsidR="003E4FA5" w:rsidRDefault="00000000">
      <w:pPr>
        <w:kinsoku w:val="0"/>
        <w:autoSpaceDE w:val="0"/>
        <w:autoSpaceDN w:val="0"/>
        <w:adjustRightInd w:val="0"/>
        <w:snapToGrid w:val="0"/>
        <w:spacing w:beforeLines="50" w:before="120" w:afterLines="50" w:after="120"/>
        <w:ind w:firstLineChars="0" w:firstLine="0"/>
        <w:jc w:val="left"/>
        <w:textAlignment w:val="baseline"/>
        <w:rPr>
          <w:rFonts w:ascii="楷体" w:eastAsia="楷体" w:hAnsi="楷体" w:cs="楷体" w:hint="eastAsia"/>
          <w:snapToGrid w:val="0"/>
          <w:color w:val="000000" w:themeColor="text1"/>
          <w:szCs w:val="28"/>
          <w:lang w:eastAsia="zh-CN"/>
        </w:rPr>
      </w:pPr>
      <w:r>
        <w:rPr>
          <w:rFonts w:ascii="楷体" w:eastAsia="楷体" w:hAnsi="楷体" w:cs="楷体" w:hint="eastAsia"/>
          <w:snapToGrid w:val="0"/>
          <w:color w:val="000000" w:themeColor="text1"/>
          <w:szCs w:val="28"/>
          <w:lang w:eastAsia="zh-CN"/>
        </w:rPr>
        <w:t>初审：周  兴</w:t>
      </w:r>
    </w:p>
    <w:p w14:paraId="26D5AB43" w14:textId="77777777" w:rsidR="003E4FA5" w:rsidRDefault="00000000">
      <w:pPr>
        <w:kinsoku w:val="0"/>
        <w:autoSpaceDE w:val="0"/>
        <w:autoSpaceDN w:val="0"/>
        <w:adjustRightInd w:val="0"/>
        <w:snapToGrid w:val="0"/>
        <w:spacing w:beforeLines="50" w:before="120" w:afterLines="50" w:after="120"/>
        <w:ind w:firstLineChars="0" w:firstLine="0"/>
        <w:jc w:val="left"/>
        <w:textAlignment w:val="baseline"/>
        <w:rPr>
          <w:rFonts w:ascii="楷体" w:eastAsia="楷体" w:hAnsi="楷体" w:cs="楷体" w:hint="eastAsia"/>
          <w:snapToGrid w:val="0"/>
          <w:color w:val="000000" w:themeColor="text1"/>
          <w:szCs w:val="28"/>
          <w:lang w:eastAsia="zh-CN"/>
        </w:rPr>
      </w:pPr>
      <w:r>
        <w:rPr>
          <w:rFonts w:ascii="楷体" w:eastAsia="楷体" w:hAnsi="楷体" w:cs="楷体" w:hint="eastAsia"/>
          <w:snapToGrid w:val="0"/>
          <w:color w:val="000000" w:themeColor="text1"/>
          <w:szCs w:val="28"/>
          <w:lang w:eastAsia="zh-CN"/>
        </w:rPr>
        <w:t>编辑：周  兴</w:t>
      </w:r>
    </w:p>
    <w:p w14:paraId="6E17E2A8" w14:textId="77777777" w:rsidR="003E4FA5" w:rsidRDefault="003E4FA5">
      <w:pPr>
        <w:ind w:firstLine="560"/>
        <w:rPr>
          <w:color w:val="000000" w:themeColor="text1"/>
        </w:rPr>
      </w:pPr>
    </w:p>
    <w:sectPr w:rsidR="003E4FA5">
      <w:headerReference w:type="default" r:id="rId20"/>
      <w:footerReference w:type="default" r:id="rId21"/>
      <w:pgSz w:w="11910" w:h="16840"/>
      <w:pgMar w:top="1380" w:right="1502" w:bottom="1160" w:left="1451" w:header="947" w:footer="9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B9E47" w14:textId="77777777" w:rsidR="00730D2B" w:rsidRDefault="00730D2B">
      <w:pPr>
        <w:spacing w:line="240" w:lineRule="auto"/>
        <w:ind w:firstLine="560"/>
      </w:pPr>
      <w:r>
        <w:separator/>
      </w:r>
    </w:p>
  </w:endnote>
  <w:endnote w:type="continuationSeparator" w:id="0">
    <w:p w14:paraId="0A4840C9" w14:textId="77777777" w:rsidR="00730D2B" w:rsidRDefault="00730D2B">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Times New Roman (正文 CS 字体)">
    <w:altName w:val="宋体"/>
    <w:charset w:val="86"/>
    <w:family w:val="roman"/>
    <w:pitch w:val="default"/>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7"/>
      </w:rPr>
      <w:id w:val="-1"/>
    </w:sdtPr>
    <w:sdtContent>
      <w:p w14:paraId="3F3B3A1C" w14:textId="77777777" w:rsidR="003E4FA5" w:rsidRDefault="00000000">
        <w:pPr>
          <w:pStyle w:val="a4"/>
          <w:framePr w:wrap="auto" w:vAnchor="text" w:hAnchor="margin" w:xAlign="center" w:y="1"/>
          <w:ind w:firstLine="360"/>
          <w:rPr>
            <w:rStyle w:val="a7"/>
          </w:rPr>
        </w:pPr>
        <w:r>
          <w:rPr>
            <w:rStyle w:val="a7"/>
          </w:rPr>
          <w:fldChar w:fldCharType="begin"/>
        </w:r>
        <w:r>
          <w:rPr>
            <w:rStyle w:val="a7"/>
          </w:rPr>
          <w:instrText xml:space="preserve"> PAGE </w:instrText>
        </w:r>
        <w:r>
          <w:rPr>
            <w:rStyle w:val="a7"/>
          </w:rPr>
          <w:fldChar w:fldCharType="end"/>
        </w:r>
      </w:p>
    </w:sdtContent>
  </w:sdt>
  <w:p w14:paraId="5E312859" w14:textId="77777777" w:rsidR="003E4FA5" w:rsidRDefault="003E4FA5">
    <w:pPr>
      <w:pStyle w:val="a4"/>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F6923" w14:textId="77777777" w:rsidR="003E4FA5" w:rsidRDefault="003E4FA5">
    <w:pPr>
      <w:pStyle w:val="a4"/>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7"/>
      </w:rPr>
      <w:id w:val="986257761"/>
    </w:sdtPr>
    <w:sdtContent>
      <w:p w14:paraId="784CCFA2" w14:textId="77777777" w:rsidR="003E4FA5" w:rsidRDefault="00000000">
        <w:pPr>
          <w:pStyle w:val="a4"/>
          <w:framePr w:wrap="auto" w:vAnchor="text" w:hAnchor="margin" w:xAlign="center" w:y="1"/>
          <w:ind w:firstLine="360"/>
          <w:rPr>
            <w:rStyle w:val="a7"/>
          </w:rPr>
        </w:pPr>
        <w:r>
          <w:rPr>
            <w:rStyle w:val="a7"/>
          </w:rPr>
          <w:fldChar w:fldCharType="begin"/>
        </w:r>
        <w:r>
          <w:rPr>
            <w:rStyle w:val="a7"/>
          </w:rPr>
          <w:instrText xml:space="preserve"> PAGE </w:instrText>
        </w:r>
        <w:r>
          <w:rPr>
            <w:rStyle w:val="a7"/>
          </w:rPr>
          <w:fldChar w:fldCharType="separate"/>
        </w:r>
        <w:r>
          <w:rPr>
            <w:rStyle w:val="a7"/>
          </w:rPr>
          <w:t>1</w:t>
        </w:r>
        <w:r>
          <w:rPr>
            <w:rStyle w:val="a7"/>
          </w:rPr>
          <w:fldChar w:fldCharType="end"/>
        </w:r>
      </w:p>
    </w:sdtContent>
  </w:sdt>
  <w:p w14:paraId="35C66872" w14:textId="77777777" w:rsidR="003E4FA5" w:rsidRDefault="003E4FA5">
    <w:pPr>
      <w:pStyle w:val="a4"/>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3E269" w14:textId="77777777" w:rsidR="003E4FA5" w:rsidRDefault="003E4FA5">
    <w:pPr>
      <w:tabs>
        <w:tab w:val="left" w:pos="3126"/>
      </w:tabs>
      <w:spacing w:line="14" w:lineRule="auto"/>
      <w:ind w:firstLine="400"/>
      <w:rPr>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C909D" w14:textId="77777777" w:rsidR="003E4FA5" w:rsidRDefault="00000000">
    <w:pPr>
      <w:spacing w:line="116" w:lineRule="exact"/>
      <w:ind w:firstLine="360"/>
      <w:rPr>
        <w:rFonts w:ascii="Calibri" w:eastAsia="Calibri" w:hAnsi="Calibri" w:cs="Calibri"/>
        <w:sz w:val="18"/>
        <w:szCs w:val="18"/>
      </w:rPr>
    </w:pPr>
    <w:r>
      <w:rPr>
        <w:noProof/>
        <w:sz w:val="18"/>
      </w:rPr>
      <mc:AlternateContent>
        <mc:Choice Requires="wps">
          <w:drawing>
            <wp:anchor distT="0" distB="0" distL="114300" distR="114300" simplePos="0" relativeHeight="251661312" behindDoc="0" locked="0" layoutInCell="1" allowOverlap="1" wp14:anchorId="08EC857E" wp14:editId="74C9EE6A">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0D0455" w14:textId="77777777" w:rsidR="003E4FA5" w:rsidRDefault="00000000">
                          <w:pPr>
                            <w:pStyle w:val="a4"/>
                            <w:ind w:firstLine="360"/>
                          </w:pPr>
                          <w:r>
                            <w:t>第</w:t>
                          </w:r>
                          <w:r>
                            <w:t xml:space="preserve"> </w:t>
                          </w:r>
                          <w:r>
                            <w:fldChar w:fldCharType="begin"/>
                          </w:r>
                          <w:r>
                            <w:instrText xml:space="preserve"> PAGE  \* MERGEFORMAT </w:instrText>
                          </w:r>
                          <w:r>
                            <w:fldChar w:fldCharType="separate"/>
                          </w:r>
                          <w:r>
                            <w:t>1</w:t>
                          </w:r>
                          <w:r>
                            <w:fldChar w:fldCharType="end"/>
                          </w:r>
                          <w:r>
                            <w:t xml:space="preserve"> </w:t>
                          </w:r>
                          <w:r>
                            <w:t>页</w:t>
                          </w:r>
                          <w:r>
                            <w:t xml:space="preserve"> </w:t>
                          </w:r>
                          <w:r>
                            <w:t>共</w:t>
                          </w:r>
                          <w:r>
                            <w:t xml:space="preserve"> </w:t>
                          </w:r>
                          <w:fldSimple w:instr=" NUMPAGES  \* MERGEFORMAT ">
                            <w:r>
                              <w:t>32</w:t>
                            </w:r>
                          </w:fldSimple>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8EC857E" id="_x0000_t202" coordsize="21600,21600" o:spt="202" path="m,l,21600r21600,l21600,xe">
              <v:stroke joinstyle="miter"/>
              <v:path gradientshapeok="t" o:connecttype="rect"/>
            </v:shapetype>
            <v:shape id="文本框 10" o:spid="_x0000_s1028"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330D0455" w14:textId="77777777" w:rsidR="003E4FA5" w:rsidRDefault="00000000">
                    <w:pPr>
                      <w:pStyle w:val="a4"/>
                      <w:ind w:firstLine="360"/>
                    </w:pPr>
                    <w:r>
                      <w:t>第</w:t>
                    </w:r>
                    <w:r>
                      <w:t xml:space="preserve"> </w:t>
                    </w:r>
                    <w:r>
                      <w:fldChar w:fldCharType="begin"/>
                    </w:r>
                    <w:r>
                      <w:instrText xml:space="preserve"> PAGE  \* MERGEFORMAT </w:instrText>
                    </w:r>
                    <w:r>
                      <w:fldChar w:fldCharType="separate"/>
                    </w:r>
                    <w:r>
                      <w:t>1</w:t>
                    </w:r>
                    <w:r>
                      <w:fldChar w:fldCharType="end"/>
                    </w:r>
                    <w:r>
                      <w:t xml:space="preserve"> </w:t>
                    </w:r>
                    <w:r>
                      <w:t>页</w:t>
                    </w:r>
                    <w:r>
                      <w:t xml:space="preserve"> </w:t>
                    </w:r>
                    <w:r>
                      <w:t>共</w:t>
                    </w:r>
                    <w:r>
                      <w:t xml:space="preserve"> </w:t>
                    </w:r>
                    <w:fldSimple w:instr=" NUMPAGES  \* MERGEFORMAT ">
                      <w:r>
                        <w:t>32</w:t>
                      </w:r>
                    </w:fldSimple>
                    <w:r>
                      <w:t xml:space="preserve"> </w:t>
                    </w:r>
                    <w:r>
                      <w:t>页</w:t>
                    </w:r>
                  </w:p>
                </w:txbxContent>
              </v:textbox>
              <w10:wrap anchorx="margin"/>
            </v:shape>
          </w:pict>
        </mc:Fallback>
      </mc:AlternateContent>
    </w:r>
    <w:r>
      <w:rPr>
        <w:rFonts w:ascii="Arial" w:eastAsia="Arial" w:hAnsi="Arial" w:cs="Arial"/>
        <w:noProof/>
        <w:snapToGrid w:val="0"/>
        <w:color w:val="000000"/>
        <w:sz w:val="18"/>
        <w:szCs w:val="21"/>
        <w:lang w:eastAsia="zh-CN"/>
      </w:rPr>
      <mc:AlternateContent>
        <mc:Choice Requires="wps">
          <w:drawing>
            <wp:anchor distT="0" distB="0" distL="114300" distR="114300" simplePos="0" relativeHeight="251660288" behindDoc="0" locked="0" layoutInCell="1" allowOverlap="1" wp14:anchorId="01CC48D4" wp14:editId="1512AB49">
              <wp:simplePos x="0" y="0"/>
              <wp:positionH relativeFrom="margin">
                <wp:posOffset>2073910</wp:posOffset>
              </wp:positionH>
              <wp:positionV relativeFrom="paragraph">
                <wp:posOffset>203835</wp:posOffset>
              </wp:positionV>
              <wp:extent cx="1227455" cy="23622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227455" cy="236220"/>
                      </a:xfrm>
                      <a:prstGeom prst="rect">
                        <a:avLst/>
                      </a:prstGeom>
                      <a:noFill/>
                      <a:ln>
                        <a:noFill/>
                      </a:ln>
                      <a:effectLst/>
                    </wps:spPr>
                    <wps:txbx>
                      <w:txbxContent>
                        <w:p w14:paraId="6B239AB0" w14:textId="77777777" w:rsidR="003E4FA5" w:rsidRDefault="003E4FA5">
                          <w:pPr>
                            <w:pStyle w:val="a4"/>
                            <w:ind w:firstLine="360"/>
                            <w:rPr>
                              <w:lang w:eastAsia="zh-CN"/>
                            </w:rPr>
                          </w:pPr>
                        </w:p>
                      </w:txbxContent>
                    </wps:txbx>
                    <wps:bodyPr wrap="square" lIns="0" tIns="0" rIns="0" bIns="0">
                      <a:noAutofit/>
                    </wps:bodyPr>
                  </wps:wsp>
                </a:graphicData>
              </a:graphic>
            </wp:anchor>
          </w:drawing>
        </mc:Choice>
        <mc:Fallback>
          <w:pict>
            <v:shape w14:anchorId="01CC48D4" id="文本框 8" o:spid="_x0000_s1029" type="#_x0000_t202" style="position:absolute;left:0;text-align:left;margin-left:163.3pt;margin-top:16.05pt;width:96.65pt;height:18.6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" filled="f" stroked="f">
              <v:textbox inset="0,0,0,0">
                <w:txbxContent>
                  <w:p w14:paraId="6B239AB0" w14:textId="77777777" w:rsidR="003E4FA5" w:rsidRDefault="003E4FA5">
                    <w:pPr>
                      <w:pStyle w:val="a4"/>
                      <w:ind w:firstLine="360"/>
                      <w:rPr>
                        <w:lang w:eastAsia="zh-CN"/>
                      </w:rPr>
                    </w:pP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A8544" w14:textId="77777777" w:rsidR="003E4FA5" w:rsidRDefault="00000000">
    <w:pPr>
      <w:tabs>
        <w:tab w:val="left" w:pos="3126"/>
      </w:tabs>
      <w:spacing w:line="14" w:lineRule="auto"/>
      <w:ind w:firstLine="400"/>
      <w:rPr>
        <w:sz w:val="20"/>
        <w:szCs w:val="20"/>
      </w:rPr>
    </w:pPr>
    <w:r>
      <w:rPr>
        <w:noProof/>
        <w:sz w:val="20"/>
      </w:rPr>
      <mc:AlternateContent>
        <mc:Choice Requires="wps">
          <w:drawing>
            <wp:anchor distT="0" distB="0" distL="114300" distR="114300" simplePos="0" relativeHeight="251662336" behindDoc="0" locked="0" layoutInCell="1" allowOverlap="1" wp14:anchorId="4F24E26E" wp14:editId="550F7126">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46A5D5" w14:textId="77777777" w:rsidR="003E4FA5" w:rsidRDefault="00000000">
                          <w:pPr>
                            <w:pStyle w:val="a4"/>
                            <w:ind w:firstLine="360"/>
                          </w:pPr>
                          <w:r>
                            <w:t>第</w:t>
                          </w:r>
                          <w:r>
                            <w:t xml:space="preserve"> </w:t>
                          </w:r>
                          <w:r>
                            <w:fldChar w:fldCharType="begin"/>
                          </w:r>
                          <w:r>
                            <w:instrText xml:space="preserve"> PAGE  \* MERGEFORMAT </w:instrText>
                          </w:r>
                          <w:r>
                            <w:fldChar w:fldCharType="separate"/>
                          </w:r>
                          <w:r>
                            <w:t>2</w:t>
                          </w:r>
                          <w:r>
                            <w:fldChar w:fldCharType="end"/>
                          </w:r>
                          <w:r>
                            <w:t xml:space="preserve"> </w:t>
                          </w:r>
                          <w:r>
                            <w:t>页</w:t>
                          </w:r>
                          <w:r>
                            <w:t xml:space="preserve"> </w:t>
                          </w:r>
                          <w:r>
                            <w:t>共</w:t>
                          </w:r>
                          <w:r>
                            <w:t xml:space="preserve"> </w:t>
                          </w:r>
                          <w:fldSimple w:instr=" NUMPAGES  \* MERGEFORMAT ">
                            <w:r>
                              <w:t>32</w:t>
                            </w:r>
                          </w:fldSimple>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F24E26E" id="_x0000_t202" coordsize="21600,21600" o:spt="202" path="m,l,21600r21600,l21600,xe">
              <v:stroke joinstyle="miter"/>
              <v:path gradientshapeok="t" o:connecttype="rect"/>
            </v:shapetype>
            <v:shape id="文本框 11" o:spid="_x0000_s1031"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2gQQIAAOsEAAAOAAAAZHJzL2Uyb0RvYy54bWysVFGP0zAMfkfiP0R5Z+2G7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V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m/V2gQQIAAOsEAAAOAAAAAAAA&#10;AAAAAAAAAC4CAABkcnMvZTJvRG9jLnhtbFBLAQItABQABgAIAAAAIQBxqtG51wAAAAUBAAAPAAAA&#10;AAAAAAAAAAAAAJsEAABkcnMvZG93bnJldi54bWxQSwUGAAAAAAQABADzAAAAnwUAAAAA&#10;" filled="f" stroked="f" strokeweight=".5pt">
              <v:textbox style="mso-fit-shape-to-text:t" inset="0,0,0,0">
                <w:txbxContent>
                  <w:p w14:paraId="5B46A5D5" w14:textId="77777777" w:rsidR="003E4FA5" w:rsidRDefault="00000000">
                    <w:pPr>
                      <w:pStyle w:val="a4"/>
                      <w:ind w:firstLine="360"/>
                    </w:pPr>
                    <w:r>
                      <w:t>第</w:t>
                    </w:r>
                    <w:r>
                      <w:t xml:space="preserve"> </w:t>
                    </w:r>
                    <w:r>
                      <w:fldChar w:fldCharType="begin"/>
                    </w:r>
                    <w:r>
                      <w:instrText xml:space="preserve"> PAGE  \* MERGEFORMAT </w:instrText>
                    </w:r>
                    <w:r>
                      <w:fldChar w:fldCharType="separate"/>
                    </w:r>
                    <w:r>
                      <w:t>2</w:t>
                    </w:r>
                    <w:r>
                      <w:fldChar w:fldCharType="end"/>
                    </w:r>
                    <w:r>
                      <w:t xml:space="preserve"> </w:t>
                    </w:r>
                    <w:r>
                      <w:t>页</w:t>
                    </w:r>
                    <w:r>
                      <w:t xml:space="preserve"> </w:t>
                    </w:r>
                    <w:r>
                      <w:t>共</w:t>
                    </w:r>
                    <w:r>
                      <w:t xml:space="preserve"> </w:t>
                    </w:r>
                    <w:fldSimple w:instr=" NUMPAGES  \* MERGEFORMAT ">
                      <w:r>
                        <w:t>32</w:t>
                      </w:r>
                    </w:fldSimple>
                    <w:r>
                      <w:t xml:space="preserve"> </w:t>
                    </w:r>
                    <w:r>
                      <w:t>页</w:t>
                    </w:r>
                  </w:p>
                </w:txbxContent>
              </v:textbox>
              <w10:wrap anchorx="margin"/>
            </v:shape>
          </w:pict>
        </mc:Fallback>
      </mc:AlternateContent>
    </w:r>
    <w:r>
      <w:rPr>
        <w:noProof/>
        <w:sz w:val="20"/>
      </w:rPr>
      <mc:AlternateContent>
        <mc:Choice Requires="wps">
          <w:drawing>
            <wp:anchor distT="0" distB="0" distL="114300" distR="114300" simplePos="0" relativeHeight="251659264" behindDoc="0" locked="0" layoutInCell="1" allowOverlap="1" wp14:anchorId="4C749AD1" wp14:editId="30641FDD">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322DBD" w14:textId="77777777" w:rsidR="003E4FA5" w:rsidRDefault="003E4FA5">
                          <w:pPr>
                            <w:pStyle w:val="a4"/>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w14:anchorId="4C749AD1" id="文本框 2" o:spid="_x0000_s1032"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mR3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OHE29PIA5YVa&#10;7KGf/uDktqY27ETAJ+Fp3Kl1tML4SIc2QHTDVeKsAv/zb/fRnqaQtJy1tD4Ft7TfnJnPlqYzbtog&#10;+EE4DII9NRugHkzpaXAyieTg0Qyi9tB8p71exxikElZSpILjIG6wX2F6F6Rar5MR7ZMTuLN7JyN0&#10;6rlbn5BGKU1Y5KZn4soZbVSa0ev2x5X9/T9Z3d6o1S8A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BncmR3QQIAAOsEAAAOAAAAAAAA&#10;AAAAAAAAAC4CAABkcnMvZTJvRG9jLnhtbFBLAQItABQABgAIAAAAIQBxqtG51wAAAAUBAAAPAAAA&#10;AAAAAAAAAAAAAJsEAABkcnMvZG93bnJldi54bWxQSwUGAAAAAAQABADzAAAAnwUAAAAA&#10;" filled="f" stroked="f" strokeweight=".5pt">
              <v:textbox style="mso-fit-shape-to-text:t" inset="0,0,0,0">
                <w:txbxContent>
                  <w:p w14:paraId="10322DBD" w14:textId="77777777" w:rsidR="003E4FA5" w:rsidRDefault="003E4FA5">
                    <w:pPr>
                      <w:pStyle w:val="a4"/>
                      <w:ind w:firstLine="360"/>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77F3D" w14:textId="77777777" w:rsidR="00730D2B" w:rsidRDefault="00730D2B">
      <w:pPr>
        <w:spacing w:line="240" w:lineRule="auto"/>
        <w:ind w:firstLine="560"/>
      </w:pPr>
      <w:r>
        <w:separator/>
      </w:r>
    </w:p>
  </w:footnote>
  <w:footnote w:type="continuationSeparator" w:id="0">
    <w:p w14:paraId="5923D2EC" w14:textId="77777777" w:rsidR="00730D2B" w:rsidRDefault="00730D2B">
      <w:pPr>
        <w:spacing w:line="240" w:lineRule="auto"/>
        <w:ind w:firstLine="5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36D39" w14:textId="77777777" w:rsidR="003E4FA5" w:rsidRDefault="003E4FA5">
    <w:pPr>
      <w:pStyle w:val="a5"/>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08C3A" w14:textId="77777777" w:rsidR="003E4FA5" w:rsidRDefault="00000000">
    <w:pPr>
      <w:spacing w:line="14" w:lineRule="auto"/>
      <w:ind w:firstLine="560"/>
      <w:rPr>
        <w:sz w:val="20"/>
        <w:szCs w:val="20"/>
      </w:rPr>
    </w:pPr>
    <w:r>
      <w:rPr>
        <w:noProof/>
      </w:rPr>
      <mc:AlternateContent>
        <mc:Choice Requires="wps">
          <w:drawing>
            <wp:anchor distT="0" distB="0" distL="114300" distR="114300" simplePos="0" relativeHeight="251658240" behindDoc="1" locked="0" layoutInCell="1" allowOverlap="1" wp14:anchorId="764AE331" wp14:editId="31FAD54C">
              <wp:simplePos x="0" y="0"/>
              <wp:positionH relativeFrom="page">
                <wp:posOffset>2270760</wp:posOffset>
              </wp:positionH>
              <wp:positionV relativeFrom="page">
                <wp:posOffset>614680</wp:posOffset>
              </wp:positionV>
              <wp:extent cx="3266440" cy="186690"/>
              <wp:effectExtent l="0" t="0" r="0" b="0"/>
              <wp:wrapNone/>
              <wp:docPr id="1" name="Text Box 8"/>
              <wp:cNvGraphicFramePr/>
              <a:graphic xmlns:a="http://schemas.openxmlformats.org/drawingml/2006/main">
                <a:graphicData uri="http://schemas.microsoft.com/office/word/2010/wordprocessingShape">
                  <wps:wsp>
                    <wps:cNvSpPr txBox="1"/>
                    <wps:spPr bwMode="auto">
                      <a:xfrm>
                        <a:off x="0" y="0"/>
                        <a:ext cx="3266536" cy="186690"/>
                      </a:xfrm>
                      <a:prstGeom prst="rect">
                        <a:avLst/>
                      </a:prstGeom>
                      <a:noFill/>
                      <a:ln>
                        <a:noFill/>
                      </a:ln>
                    </wps:spPr>
                    <wps:txbx>
                      <w:txbxContent>
                        <w:p w14:paraId="1447B61C" w14:textId="77777777" w:rsidR="003E4FA5" w:rsidRDefault="00000000">
                          <w:pPr>
                            <w:spacing w:line="289" w:lineRule="exact"/>
                            <w:ind w:left="20" w:firstLineChars="0" w:firstLine="0"/>
                            <w:rPr>
                              <w:rFonts w:ascii="仿宋" w:hAnsi="仿宋" w:cs="仿宋" w:hint="eastAsia"/>
                              <w:sz w:val="24"/>
                              <w:szCs w:val="24"/>
                              <w:lang w:eastAsia="zh-CN"/>
                            </w:rPr>
                          </w:pPr>
                          <w:r>
                            <w:rPr>
                              <w:rFonts w:ascii="楷体" w:eastAsia="楷体" w:hAnsi="楷体" w:cs="楷体" w:hint="eastAsia"/>
                              <w:snapToGrid w:val="0"/>
                              <w:color w:val="000000"/>
                              <w:kern w:val="2"/>
                              <w:sz w:val="24"/>
                              <w:szCs w:val="24"/>
                              <w:lang w:eastAsia="zh-CN"/>
                            </w:rPr>
                            <w:t>河南省律师协会税收法律专业委员会｜税法速递</w:t>
                          </w:r>
                        </w:p>
                      </w:txbxContent>
                    </wps:txbx>
                    <wps:bodyPr rot="0" vert="horz" wrap="square" lIns="0" tIns="0" rIns="0" bIns="0" anchor="t" anchorCtr="0" upright="1">
                      <a:noAutofit/>
                    </wps:bodyPr>
                  </wps:wsp>
                </a:graphicData>
              </a:graphic>
            </wp:anchor>
          </w:drawing>
        </mc:Choice>
        <mc:Fallback>
          <w:pict>
            <v:shapetype w14:anchorId="764AE331" id="_x0000_t202" coordsize="21600,21600" o:spt="202" path="m,l,21600r21600,l21600,xe">
              <v:stroke joinstyle="miter"/>
              <v:path gradientshapeok="t" o:connecttype="rect"/>
            </v:shapetype>
            <v:shape id="Text Box 8" o:spid="_x0000_s1026" type="#_x0000_t202" style="position:absolute;left:0;text-align:left;margin-left:178.8pt;margin-top:48.4pt;width:257.2pt;height:14.7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" filled="f" stroked="f">
              <v:textbox inset="0,0,0,0">
                <w:txbxContent>
                  <w:p w14:paraId="1447B61C" w14:textId="77777777" w:rsidR="003E4FA5" w:rsidRDefault="00000000">
                    <w:pPr>
                      <w:spacing w:line="289" w:lineRule="exact"/>
                      <w:ind w:left="20" w:firstLineChars="0" w:firstLine="0"/>
                      <w:rPr>
                        <w:rFonts w:ascii="仿宋" w:hAnsi="仿宋" w:cs="仿宋" w:hint="eastAsia"/>
                        <w:sz w:val="24"/>
                        <w:szCs w:val="24"/>
                        <w:lang w:eastAsia="zh-CN"/>
                      </w:rPr>
                    </w:pPr>
                    <w:r>
                      <w:rPr>
                        <w:rFonts w:ascii="楷体" w:eastAsia="楷体" w:hAnsi="楷体" w:cs="楷体" w:hint="eastAsia"/>
                        <w:snapToGrid w:val="0"/>
                        <w:color w:val="000000"/>
                        <w:kern w:val="2"/>
                        <w:sz w:val="24"/>
                        <w:szCs w:val="24"/>
                        <w:lang w:eastAsia="zh-CN"/>
                      </w:rPr>
                      <w:t>河南省律师协会税收法律专业委员会｜税法速递</w:t>
                    </w:r>
                  </w:p>
                </w:txbxContent>
              </v:textbox>
              <w10:wrap anchorx="page" anchory="page"/>
            </v:shape>
          </w:pict>
        </mc:Fallback>
      </mc:AlternateContent>
    </w:r>
    <w:r>
      <w:rPr>
        <w:noProof/>
      </w:rPr>
      <mc:AlternateContent>
        <mc:Choice Requires="wpg">
          <w:drawing>
            <wp:anchor distT="0" distB="0" distL="114300" distR="114300" simplePos="0" relativeHeight="251656192" behindDoc="1" locked="0" layoutInCell="1" allowOverlap="1" wp14:anchorId="7ED5A03E" wp14:editId="64717058">
              <wp:simplePos x="0" y="0"/>
              <wp:positionH relativeFrom="page">
                <wp:posOffset>1143000</wp:posOffset>
              </wp:positionH>
              <wp:positionV relativeFrom="page">
                <wp:posOffset>873125</wp:posOffset>
              </wp:positionV>
              <wp:extent cx="5269865" cy="1270"/>
              <wp:effectExtent l="0" t="0" r="0" b="0"/>
              <wp:wrapNone/>
              <wp:docPr id="6" name="Group 9"/>
              <wp:cNvGraphicFramePr/>
              <a:graphic xmlns:a="http://schemas.openxmlformats.org/drawingml/2006/main">
                <a:graphicData uri="http://schemas.microsoft.com/office/word/2010/wordprocessingGroup">
                  <wpg:wgp>
                    <wpg:cNvGrpSpPr/>
                    <wpg:grpSpPr>
                      <a:xfrm>
                        <a:off x="0" y="0"/>
                        <a:ext cx="5269865" cy="1270"/>
                        <a:chOff x="1800" y="1375"/>
                        <a:chExt cx="8299" cy="2"/>
                      </a:xfrm>
                    </wpg:grpSpPr>
                    <wps:wsp>
                      <wps:cNvPr id="9" name="Freeform 10"/>
                      <wps:cNvSpPr/>
                      <wps:spPr bwMode="auto">
                        <a:xfrm>
                          <a:off x="1800" y="1375"/>
                          <a:ext cx="8299" cy="2"/>
                        </a:xfrm>
                        <a:custGeom>
                          <a:avLst/>
                          <a:gdLst>
                            <a:gd name="T0" fmla="+- 0 1800 1800"/>
                            <a:gd name="T1" fmla="*/ T0 w 8299"/>
                            <a:gd name="T2" fmla="+- 0 10099 1800"/>
                            <a:gd name="T3" fmla="*/ T2 w 8299"/>
                          </a:gdLst>
                          <a:ahLst/>
                          <a:cxnLst>
                            <a:cxn ang="0">
                              <a:pos x="T1" y="0"/>
                            </a:cxn>
                            <a:cxn ang="0">
                              <a:pos x="T3" y="0"/>
                            </a:cxn>
                          </a:cxnLst>
                          <a:rect l="0" t="0" r="r" b="b"/>
                          <a:pathLst>
                            <a:path w="8299">
                              <a:moveTo>
                                <a:pt x="0" y="0"/>
                              </a:moveTo>
                              <a:lnTo>
                                <a:pt x="8299" y="0"/>
                              </a:lnTo>
                            </a:path>
                          </a:pathLst>
                        </a:custGeom>
                        <a:noFill/>
                        <a:ln w="9144">
                          <a:solidFill>
                            <a:srgbClr val="000000"/>
                          </a:solidFill>
                          <a:round/>
                        </a:ln>
                      </wps:spPr>
                      <wps:bodyPr rot="0" vert="horz" wrap="square" lIns="91440" tIns="45720" rIns="91440" bIns="45720" anchor="t" anchorCtr="0" upright="1">
                        <a:noAutofit/>
                      </wps:bodyPr>
                    </wps:wsp>
                  </wpg:wgp>
                </a:graphicData>
              </a:graphic>
            </wp:anchor>
          </w:drawing>
        </mc:Choice>
        <mc:Fallback>
          <w:pict>
            <v:group w14:anchorId="41EC5A13" id="Group 9" o:spid="_x0000_s1026" style="position:absolute;margin-left:90pt;margin-top:68.75pt;width:414.95pt;height:.1pt;z-index:-251660288;mso-position-horizontal-relative:page;mso-position-vertical-relative:page" coordorigin="1800,1375" coordsize="82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">
              <v:shape id="Freeform 10" o:spid="_x0000_s1027" style="position:absolute;left:1800;top:1375;width:8299;height:2;visibility:visible;mso-wrap-style:square;v-text-anchor:top" coordsize="82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" path="m,l8299,e" filled="f" strokeweight=".72pt">
                <v:path arrowok="t" o:connecttype="custom" o:connectlocs="0,0;8299,0" o:connectangles="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51D37" w14:textId="77777777" w:rsidR="003E4FA5" w:rsidRDefault="003E4FA5">
    <w:pPr>
      <w:pStyle w:val="a5"/>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58390" w14:textId="77777777" w:rsidR="003E4FA5" w:rsidRDefault="00000000">
    <w:pPr>
      <w:spacing w:line="14" w:lineRule="auto"/>
      <w:ind w:firstLine="560"/>
      <w:rPr>
        <w:sz w:val="20"/>
        <w:szCs w:val="20"/>
      </w:rPr>
    </w:pPr>
    <w:r>
      <w:rPr>
        <w:noProof/>
      </w:rPr>
      <mc:AlternateContent>
        <mc:Choice Requires="wps">
          <w:drawing>
            <wp:anchor distT="0" distB="0" distL="114300" distR="114300" simplePos="0" relativeHeight="251654144" behindDoc="1" locked="0" layoutInCell="1" allowOverlap="1" wp14:anchorId="6EEFC9B1" wp14:editId="00197075">
              <wp:simplePos x="0" y="0"/>
              <wp:positionH relativeFrom="page">
                <wp:posOffset>2270760</wp:posOffset>
              </wp:positionH>
              <wp:positionV relativeFrom="page">
                <wp:posOffset>614680</wp:posOffset>
              </wp:positionV>
              <wp:extent cx="3266440" cy="186690"/>
              <wp:effectExtent l="0" t="0" r="0" b="0"/>
              <wp:wrapNone/>
              <wp:docPr id="3" name="Text Box 8"/>
              <wp:cNvGraphicFramePr/>
              <a:graphic xmlns:a="http://schemas.openxmlformats.org/drawingml/2006/main">
                <a:graphicData uri="http://schemas.microsoft.com/office/word/2010/wordprocessingShape">
                  <wps:wsp>
                    <wps:cNvSpPr txBox="1"/>
                    <wps:spPr bwMode="auto">
                      <a:xfrm>
                        <a:off x="0" y="0"/>
                        <a:ext cx="3266536" cy="186690"/>
                      </a:xfrm>
                      <a:prstGeom prst="rect">
                        <a:avLst/>
                      </a:prstGeom>
                      <a:noFill/>
                      <a:ln>
                        <a:noFill/>
                      </a:ln>
                    </wps:spPr>
                    <wps:txbx>
                      <w:txbxContent>
                        <w:p w14:paraId="1A4EC4D7" w14:textId="77777777" w:rsidR="003E4FA5" w:rsidRDefault="00000000">
                          <w:pPr>
                            <w:spacing w:line="289" w:lineRule="exact"/>
                            <w:ind w:left="20" w:firstLineChars="0" w:firstLine="0"/>
                            <w:rPr>
                              <w:rFonts w:ascii="仿宋" w:hAnsi="仿宋" w:cs="仿宋" w:hint="eastAsia"/>
                              <w:sz w:val="24"/>
                              <w:szCs w:val="24"/>
                              <w:lang w:eastAsia="zh-CN"/>
                            </w:rPr>
                          </w:pPr>
                          <w:r>
                            <w:rPr>
                              <w:rFonts w:ascii="楷体" w:eastAsia="楷体" w:hAnsi="楷体" w:cs="楷体" w:hint="eastAsia"/>
                              <w:snapToGrid w:val="0"/>
                              <w:color w:val="000000"/>
                              <w:kern w:val="2"/>
                              <w:sz w:val="24"/>
                              <w:szCs w:val="24"/>
                              <w:lang w:eastAsia="zh-CN"/>
                            </w:rPr>
                            <w:t>河南省律师协会税收法律专业委员会｜税法速递</w:t>
                          </w:r>
                        </w:p>
                      </w:txbxContent>
                    </wps:txbx>
                    <wps:bodyPr rot="0" vert="horz" wrap="square" lIns="0" tIns="0" rIns="0" bIns="0" anchor="t" anchorCtr="0" upright="1">
                      <a:noAutofit/>
                    </wps:bodyPr>
                  </wps:wsp>
                </a:graphicData>
              </a:graphic>
            </wp:anchor>
          </w:drawing>
        </mc:Choice>
        <mc:Fallback>
          <w:pict>
            <v:shapetype w14:anchorId="6EEFC9B1" id="_x0000_t202" coordsize="21600,21600" o:spt="202" path="m,l,21600r21600,l21600,xe">
              <v:stroke joinstyle="miter"/>
              <v:path gradientshapeok="t" o:connecttype="rect"/>
            </v:shapetype>
            <v:shape id="_x0000_s1027" type="#_x0000_t202" style="position:absolute;left:0;text-align:left;margin-left:178.8pt;margin-top:48.4pt;width:257.2pt;height:14.7pt;z-index:-2516623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" filled="f" stroked="f">
              <v:textbox inset="0,0,0,0">
                <w:txbxContent>
                  <w:p w14:paraId="1A4EC4D7" w14:textId="77777777" w:rsidR="003E4FA5" w:rsidRDefault="00000000">
                    <w:pPr>
                      <w:spacing w:line="289" w:lineRule="exact"/>
                      <w:ind w:left="20" w:firstLineChars="0" w:firstLine="0"/>
                      <w:rPr>
                        <w:rFonts w:ascii="仿宋" w:hAnsi="仿宋" w:cs="仿宋" w:hint="eastAsia"/>
                        <w:sz w:val="24"/>
                        <w:szCs w:val="24"/>
                        <w:lang w:eastAsia="zh-CN"/>
                      </w:rPr>
                    </w:pPr>
                    <w:r>
                      <w:rPr>
                        <w:rFonts w:ascii="楷体" w:eastAsia="楷体" w:hAnsi="楷体" w:cs="楷体" w:hint="eastAsia"/>
                        <w:snapToGrid w:val="0"/>
                        <w:color w:val="000000"/>
                        <w:kern w:val="2"/>
                        <w:sz w:val="24"/>
                        <w:szCs w:val="24"/>
                        <w:lang w:eastAsia="zh-CN"/>
                      </w:rPr>
                      <w:t>河南省律师协会税收法律专业委员会｜税法速递</w:t>
                    </w:r>
                  </w:p>
                </w:txbxContent>
              </v:textbox>
              <w10:wrap anchorx="page" anchory="page"/>
            </v:shape>
          </w:pict>
        </mc:Fallback>
      </mc:AlternateContent>
    </w:r>
    <w:r>
      <w:rPr>
        <w:noProof/>
      </w:rPr>
      <mc:AlternateContent>
        <mc:Choice Requires="wpg">
          <w:drawing>
            <wp:anchor distT="0" distB="0" distL="114300" distR="114300" simplePos="0" relativeHeight="251653120" behindDoc="1" locked="0" layoutInCell="1" allowOverlap="1" wp14:anchorId="6AFBF45F" wp14:editId="5EDABF5F">
              <wp:simplePos x="0" y="0"/>
              <wp:positionH relativeFrom="page">
                <wp:posOffset>1143000</wp:posOffset>
              </wp:positionH>
              <wp:positionV relativeFrom="page">
                <wp:posOffset>873125</wp:posOffset>
              </wp:positionV>
              <wp:extent cx="5269865" cy="1270"/>
              <wp:effectExtent l="0" t="0" r="0" b="0"/>
              <wp:wrapNone/>
              <wp:docPr id="4" name="Group 9"/>
              <wp:cNvGraphicFramePr/>
              <a:graphic xmlns:a="http://schemas.openxmlformats.org/drawingml/2006/main">
                <a:graphicData uri="http://schemas.microsoft.com/office/word/2010/wordprocessingGroup">
                  <wpg:wgp>
                    <wpg:cNvGrpSpPr/>
                    <wpg:grpSpPr>
                      <a:xfrm>
                        <a:off x="0" y="0"/>
                        <a:ext cx="5269865" cy="1270"/>
                        <a:chOff x="1800" y="1375"/>
                        <a:chExt cx="8299" cy="2"/>
                      </a:xfrm>
                    </wpg:grpSpPr>
                    <wps:wsp>
                      <wps:cNvPr id="5" name="Freeform 10"/>
                      <wps:cNvSpPr/>
                      <wps:spPr bwMode="auto">
                        <a:xfrm>
                          <a:off x="1800" y="1375"/>
                          <a:ext cx="8299" cy="2"/>
                        </a:xfrm>
                        <a:custGeom>
                          <a:avLst/>
                          <a:gdLst>
                            <a:gd name="T0" fmla="+- 0 1800 1800"/>
                            <a:gd name="T1" fmla="*/ T0 w 8299"/>
                            <a:gd name="T2" fmla="+- 0 10099 1800"/>
                            <a:gd name="T3" fmla="*/ T2 w 8299"/>
                          </a:gdLst>
                          <a:ahLst/>
                          <a:cxnLst>
                            <a:cxn ang="0">
                              <a:pos x="T1" y="0"/>
                            </a:cxn>
                            <a:cxn ang="0">
                              <a:pos x="T3" y="0"/>
                            </a:cxn>
                          </a:cxnLst>
                          <a:rect l="0" t="0" r="r" b="b"/>
                          <a:pathLst>
                            <a:path w="8299">
                              <a:moveTo>
                                <a:pt x="0" y="0"/>
                              </a:moveTo>
                              <a:lnTo>
                                <a:pt x="8299" y="0"/>
                              </a:lnTo>
                            </a:path>
                          </a:pathLst>
                        </a:custGeom>
                        <a:noFill/>
                        <a:ln w="9144">
                          <a:solidFill>
                            <a:srgbClr val="000000"/>
                          </a:solidFill>
                          <a:round/>
                        </a:ln>
                      </wps:spPr>
                      <wps:bodyPr rot="0" vert="horz" wrap="square" lIns="91440" tIns="45720" rIns="91440" bIns="45720" anchor="t" anchorCtr="0" upright="1">
                        <a:noAutofit/>
                      </wps:bodyPr>
                    </wps:wsp>
                  </wpg:wgp>
                </a:graphicData>
              </a:graphic>
            </wp:anchor>
          </w:drawing>
        </mc:Choice>
        <mc:Fallback>
          <w:pict>
            <v:group w14:anchorId="3F5552CF" id="Group 9" o:spid="_x0000_s1026" style="position:absolute;margin-left:90pt;margin-top:68.75pt;width:414.95pt;height:.1pt;z-index:-251663360;mso-position-horizontal-relative:page;mso-position-vertical-relative:page" coordorigin="1800,1375" coordsize="82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">
              <v:shape id="Freeform 10" o:spid="_x0000_s1027" style="position:absolute;left:1800;top:1375;width:8299;height:2;visibility:visible;mso-wrap-style:square;v-text-anchor:top" coordsize="82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" path="m,l8299,e" filled="f" strokeweight=".72pt">
                <v:path arrowok="t" o:connecttype="custom" o:connectlocs="0,0;8299,0" o:connectangles="0,0"/>
              </v:shape>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9EF51" w14:textId="77777777" w:rsidR="003E4FA5" w:rsidRDefault="00000000">
    <w:pPr>
      <w:spacing w:before="1" w:line="204" w:lineRule="auto"/>
      <w:ind w:firstLine="476"/>
      <w:rPr>
        <w:rFonts w:ascii="仿宋" w:hAnsi="仿宋" w:cs="仿宋" w:hint="eastAsia"/>
        <w:spacing w:val="-1"/>
        <w:sz w:val="24"/>
        <w:szCs w:val="24"/>
        <w:lang w:eastAsia="zh-CN"/>
      </w:rPr>
    </w:pPr>
    <w:r>
      <w:rPr>
        <w:rFonts w:ascii="仿宋" w:hAnsi="仿宋" w:cs="仿宋"/>
        <w:spacing w:val="-1"/>
        <w:sz w:val="24"/>
        <w:szCs w:val="24"/>
        <w:lang w:eastAsia="zh-CN"/>
      </w:rPr>
      <w:t>河南省律师协会财政税收法律专业委员会｜税法速递</w:t>
    </w:r>
  </w:p>
  <w:p w14:paraId="607EC5C6" w14:textId="77777777" w:rsidR="003E4FA5" w:rsidRDefault="003E4FA5">
    <w:pPr>
      <w:autoSpaceDE w:val="0"/>
      <w:autoSpaceDN w:val="0"/>
      <w:adjustRightInd w:val="0"/>
      <w:snapToGrid w:val="0"/>
      <w:spacing w:before="104" w:line="181" w:lineRule="auto"/>
      <w:ind w:firstLine="476"/>
      <w:rPr>
        <w:rFonts w:ascii="仿宋" w:hAnsi="仿宋" w:cs="仿宋" w:hint="eastAsia"/>
        <w:spacing w:val="-1"/>
        <w:sz w:val="24"/>
        <w:szCs w:val="24"/>
        <w:lang w:eastAsia="zh-CN"/>
      </w:rPr>
    </w:pPr>
  </w:p>
  <w:p w14:paraId="7A76247A" w14:textId="77777777" w:rsidR="003E4FA5" w:rsidRDefault="003E4FA5">
    <w:pPr>
      <w:spacing w:line="14" w:lineRule="auto"/>
      <w:ind w:firstLine="40"/>
      <w:rPr>
        <w:rFonts w:ascii="微软雅黑"/>
        <w:sz w:val="2"/>
        <w:lang w:eastAsia="zh-C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686F2" w14:textId="77777777" w:rsidR="003E4FA5" w:rsidRDefault="00000000">
    <w:pPr>
      <w:spacing w:line="14" w:lineRule="auto"/>
      <w:ind w:firstLine="560"/>
      <w:rPr>
        <w:sz w:val="20"/>
        <w:szCs w:val="20"/>
      </w:rPr>
    </w:pPr>
    <w:r>
      <w:rPr>
        <w:noProof/>
      </w:rPr>
      <mc:AlternateContent>
        <mc:Choice Requires="wps">
          <w:drawing>
            <wp:anchor distT="0" distB="0" distL="114300" distR="114300" simplePos="0" relativeHeight="251657216" behindDoc="1" locked="0" layoutInCell="1" allowOverlap="1" wp14:anchorId="0841C0D4" wp14:editId="5D8F3D0F">
              <wp:simplePos x="0" y="0"/>
              <wp:positionH relativeFrom="page">
                <wp:posOffset>2270760</wp:posOffset>
              </wp:positionH>
              <wp:positionV relativeFrom="page">
                <wp:posOffset>614680</wp:posOffset>
              </wp:positionV>
              <wp:extent cx="3266440" cy="186690"/>
              <wp:effectExtent l="0" t="0" r="0" b="0"/>
              <wp:wrapNone/>
              <wp:docPr id="25" name="Text Box 8"/>
              <wp:cNvGraphicFramePr/>
              <a:graphic xmlns:a="http://schemas.openxmlformats.org/drawingml/2006/main">
                <a:graphicData uri="http://schemas.microsoft.com/office/word/2010/wordprocessingShape">
                  <wps:wsp>
                    <wps:cNvSpPr txBox="1"/>
                    <wps:spPr bwMode="auto">
                      <a:xfrm>
                        <a:off x="0" y="0"/>
                        <a:ext cx="3266536" cy="186690"/>
                      </a:xfrm>
                      <a:prstGeom prst="rect">
                        <a:avLst/>
                      </a:prstGeom>
                      <a:noFill/>
                      <a:ln>
                        <a:noFill/>
                      </a:ln>
                    </wps:spPr>
                    <wps:txbx>
                      <w:txbxContent>
                        <w:p w14:paraId="1CD051A4" w14:textId="77777777" w:rsidR="003E4FA5" w:rsidRDefault="00000000">
                          <w:pPr>
                            <w:spacing w:line="289" w:lineRule="exact"/>
                            <w:ind w:left="20" w:firstLineChars="0" w:firstLine="0"/>
                            <w:rPr>
                              <w:rFonts w:ascii="仿宋" w:hAnsi="仿宋" w:cs="仿宋" w:hint="eastAsia"/>
                              <w:sz w:val="24"/>
                              <w:szCs w:val="24"/>
                              <w:lang w:eastAsia="zh-CN"/>
                            </w:rPr>
                          </w:pPr>
                          <w:r>
                            <w:rPr>
                              <w:rFonts w:ascii="楷体" w:eastAsia="楷体" w:hAnsi="楷体" w:cs="楷体" w:hint="eastAsia"/>
                              <w:snapToGrid w:val="0"/>
                              <w:color w:val="000000"/>
                              <w:kern w:val="2"/>
                              <w:sz w:val="24"/>
                              <w:szCs w:val="24"/>
                              <w:lang w:eastAsia="zh-CN"/>
                            </w:rPr>
                            <w:t>河南省律师协会税收法律专业委员会｜税法速递</w:t>
                          </w:r>
                        </w:p>
                      </w:txbxContent>
                    </wps:txbx>
                    <wps:bodyPr rot="0" vert="horz" wrap="square" lIns="0" tIns="0" rIns="0" bIns="0" anchor="t" anchorCtr="0" upright="1">
                      <a:noAutofit/>
                    </wps:bodyPr>
                  </wps:wsp>
                </a:graphicData>
              </a:graphic>
            </wp:anchor>
          </w:drawing>
        </mc:Choice>
        <mc:Fallback>
          <w:pict>
            <v:shapetype w14:anchorId="0841C0D4" id="_x0000_t202" coordsize="21600,21600" o:spt="202" path="m,l,21600r21600,l21600,xe">
              <v:stroke joinstyle="miter"/>
              <v:path gradientshapeok="t" o:connecttype="rect"/>
            </v:shapetype>
            <v:shape id="_x0000_s1030" type="#_x0000_t202" style="position:absolute;left:0;text-align:left;margin-left:178.8pt;margin-top:48.4pt;width:257.2pt;height:14.7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" filled="f" stroked="f">
              <v:textbox inset="0,0,0,0">
                <w:txbxContent>
                  <w:p w14:paraId="1CD051A4" w14:textId="77777777" w:rsidR="003E4FA5" w:rsidRDefault="00000000">
                    <w:pPr>
                      <w:spacing w:line="289" w:lineRule="exact"/>
                      <w:ind w:left="20" w:firstLineChars="0" w:firstLine="0"/>
                      <w:rPr>
                        <w:rFonts w:ascii="仿宋" w:hAnsi="仿宋" w:cs="仿宋" w:hint="eastAsia"/>
                        <w:sz w:val="24"/>
                        <w:szCs w:val="24"/>
                        <w:lang w:eastAsia="zh-CN"/>
                      </w:rPr>
                    </w:pPr>
                    <w:r>
                      <w:rPr>
                        <w:rFonts w:ascii="楷体" w:eastAsia="楷体" w:hAnsi="楷体" w:cs="楷体" w:hint="eastAsia"/>
                        <w:snapToGrid w:val="0"/>
                        <w:color w:val="000000"/>
                        <w:kern w:val="2"/>
                        <w:sz w:val="24"/>
                        <w:szCs w:val="24"/>
                        <w:lang w:eastAsia="zh-CN"/>
                      </w:rPr>
                      <w:t>河南省律师协会税收法律专业委员会｜税法速递</w:t>
                    </w:r>
                  </w:p>
                </w:txbxContent>
              </v:textbox>
              <w10:wrap anchorx="page" anchory="page"/>
            </v:shape>
          </w:pict>
        </mc:Fallback>
      </mc:AlternateContent>
    </w:r>
    <w:r>
      <w:rPr>
        <w:noProof/>
      </w:rPr>
      <mc:AlternateContent>
        <mc:Choice Requires="wpg">
          <w:drawing>
            <wp:anchor distT="0" distB="0" distL="114300" distR="114300" simplePos="0" relativeHeight="251655168" behindDoc="1" locked="0" layoutInCell="1" allowOverlap="1" wp14:anchorId="5B26638E" wp14:editId="6AC62922">
              <wp:simplePos x="0" y="0"/>
              <wp:positionH relativeFrom="page">
                <wp:posOffset>1143000</wp:posOffset>
              </wp:positionH>
              <wp:positionV relativeFrom="page">
                <wp:posOffset>873125</wp:posOffset>
              </wp:positionV>
              <wp:extent cx="5269865" cy="1270"/>
              <wp:effectExtent l="0" t="0" r="0" b="0"/>
              <wp:wrapNone/>
              <wp:docPr id="26" name="Group 9"/>
              <wp:cNvGraphicFramePr/>
              <a:graphic xmlns:a="http://schemas.openxmlformats.org/drawingml/2006/main">
                <a:graphicData uri="http://schemas.microsoft.com/office/word/2010/wordprocessingGroup">
                  <wpg:wgp>
                    <wpg:cNvGrpSpPr/>
                    <wpg:grpSpPr>
                      <a:xfrm>
                        <a:off x="0" y="0"/>
                        <a:ext cx="5269865" cy="1270"/>
                        <a:chOff x="1800" y="1375"/>
                        <a:chExt cx="8299" cy="2"/>
                      </a:xfrm>
                    </wpg:grpSpPr>
                    <wps:wsp>
                      <wps:cNvPr id="27" name="Freeform 10"/>
                      <wps:cNvSpPr/>
                      <wps:spPr bwMode="auto">
                        <a:xfrm>
                          <a:off x="1800" y="1375"/>
                          <a:ext cx="8299" cy="2"/>
                        </a:xfrm>
                        <a:custGeom>
                          <a:avLst/>
                          <a:gdLst>
                            <a:gd name="T0" fmla="+- 0 1800 1800"/>
                            <a:gd name="T1" fmla="*/ T0 w 8299"/>
                            <a:gd name="T2" fmla="+- 0 10099 1800"/>
                            <a:gd name="T3" fmla="*/ T2 w 8299"/>
                          </a:gdLst>
                          <a:ahLst/>
                          <a:cxnLst>
                            <a:cxn ang="0">
                              <a:pos x="T1" y="0"/>
                            </a:cxn>
                            <a:cxn ang="0">
                              <a:pos x="T3" y="0"/>
                            </a:cxn>
                          </a:cxnLst>
                          <a:rect l="0" t="0" r="r" b="b"/>
                          <a:pathLst>
                            <a:path w="8299">
                              <a:moveTo>
                                <a:pt x="0" y="0"/>
                              </a:moveTo>
                              <a:lnTo>
                                <a:pt x="8299" y="0"/>
                              </a:lnTo>
                            </a:path>
                          </a:pathLst>
                        </a:custGeom>
                        <a:noFill/>
                        <a:ln w="9144">
                          <a:solidFill>
                            <a:srgbClr val="000000"/>
                          </a:solidFill>
                          <a:round/>
                        </a:ln>
                      </wps:spPr>
                      <wps:bodyPr rot="0" vert="horz" wrap="square" lIns="91440" tIns="45720" rIns="91440" bIns="45720" anchor="t" anchorCtr="0" upright="1">
                        <a:noAutofit/>
                      </wps:bodyPr>
                    </wps:wsp>
                  </wpg:wgp>
                </a:graphicData>
              </a:graphic>
            </wp:anchor>
          </w:drawing>
        </mc:Choice>
        <mc:Fallback>
          <w:pict>
            <v:group w14:anchorId="3FFC4CDC" id="Group 9" o:spid="_x0000_s1026" style="position:absolute;margin-left:90pt;margin-top:68.75pt;width:414.95pt;height:.1pt;z-index:-251661312;mso-position-horizontal-relative:page;mso-position-vertical-relative:page" coordorigin="1800,1375" coordsize="82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">
              <v:shape id="Freeform 10" o:spid="_x0000_s1027" style="position:absolute;left:1800;top:1375;width:8299;height:2;visibility:visible;mso-wrap-style:square;v-text-anchor:top" coordsize="82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" path="m,l8299,e" filled="f" strokeweight=".72pt">
                <v:path arrowok="t" o:connecttype="custom" o:connectlocs="0,0;8299,0" o:connectangles="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A9A2AF2"/>
    <w:multiLevelType w:val="singleLevel"/>
    <w:tmpl w:val="AA9A2AF2"/>
    <w:lvl w:ilvl="0">
      <w:start w:val="3"/>
      <w:numFmt w:val="chineseCounting"/>
      <w:suff w:val="nothing"/>
      <w:lvlText w:val="%1、"/>
      <w:lvlJc w:val="left"/>
      <w:rPr>
        <w:rFonts w:hint="eastAsia"/>
      </w:rPr>
    </w:lvl>
  </w:abstractNum>
  <w:abstractNum w:abstractNumId="1" w15:restartNumberingAfterBreak="0">
    <w:nsid w:val="F4B96F5A"/>
    <w:multiLevelType w:val="singleLevel"/>
    <w:tmpl w:val="F4B96F5A"/>
    <w:lvl w:ilvl="0">
      <w:start w:val="2"/>
      <w:numFmt w:val="chineseCounting"/>
      <w:suff w:val="nothing"/>
      <w:lvlText w:val="%1、"/>
      <w:lvlJc w:val="left"/>
      <w:rPr>
        <w:rFonts w:hint="eastAsia"/>
      </w:rPr>
    </w:lvl>
  </w:abstractNum>
  <w:abstractNum w:abstractNumId="2" w15:restartNumberingAfterBreak="0">
    <w:nsid w:val="5E64CB4E"/>
    <w:multiLevelType w:val="singleLevel"/>
    <w:tmpl w:val="5E64CB4E"/>
    <w:lvl w:ilvl="0">
      <w:start w:val="1"/>
      <w:numFmt w:val="chineseCounting"/>
      <w:suff w:val="nothing"/>
      <w:lvlText w:val="%1、"/>
      <w:lvlJc w:val="left"/>
      <w:rPr>
        <w:rFonts w:hint="eastAsia"/>
      </w:rPr>
    </w:lvl>
  </w:abstractNum>
  <w:num w:numId="1" w16cid:durableId="332034346">
    <w:abstractNumId w:val="2"/>
  </w:num>
  <w:num w:numId="2" w16cid:durableId="700398927">
    <w:abstractNumId w:val="1"/>
  </w:num>
  <w:num w:numId="3" w16cid:durableId="1296108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164B19DA"/>
    <w:rsid w:val="003E4FA5"/>
    <w:rsid w:val="00730D2B"/>
    <w:rsid w:val="00D238B6"/>
    <w:rsid w:val="00D85CF2"/>
    <w:rsid w:val="09FF0827"/>
    <w:rsid w:val="14411E19"/>
    <w:rsid w:val="164B19DA"/>
    <w:rsid w:val="220A23E4"/>
    <w:rsid w:val="225C6408"/>
    <w:rsid w:val="2DC31699"/>
    <w:rsid w:val="36944506"/>
    <w:rsid w:val="434313C1"/>
    <w:rsid w:val="4BD50ABE"/>
    <w:rsid w:val="5F643FDB"/>
    <w:rsid w:val="60D84681"/>
    <w:rsid w:val="61981C41"/>
    <w:rsid w:val="62940A10"/>
    <w:rsid w:val="682865ED"/>
    <w:rsid w:val="69FE14F0"/>
    <w:rsid w:val="6D553DA1"/>
    <w:rsid w:val="703B5DB9"/>
    <w:rsid w:val="7D0B5E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9E72327"/>
  <w15:docId w15:val="{4C97FEDC-FC2F-445C-A2B2-B5C67DAC3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toc 2" w:uiPriority="39" w:unhideWhenUsed="1" w:qFormat="1"/>
    <w:lsdException w:name="header" w:uiPriority="99" w:unhideWhenUsed="1" w:qFormat="1"/>
    <w:lsdException w:name="footer" w:uiPriority="99" w:unhideWhenUsed="1" w:qFormat="1"/>
    <w:lsdException w:name="caption" w:semiHidden="1" w:unhideWhenUsed="1" w:qFormat="1"/>
    <w:lsdException w:name="page number" w:semiHidden="1" w:uiPriority="99" w:unhideWhenUsed="1" w:qFormat="1"/>
    <w:lsdException w:name="Title" w:qFormat="1"/>
    <w:lsdException w:name="Default Paragraph Font" w:semiHidden="1" w:qFormat="1"/>
    <w:lsdException w:name="Body Text" w:uiPriority="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460" w:lineRule="exact"/>
      <w:ind w:firstLineChars="200" w:firstLine="200"/>
      <w:jc w:val="both"/>
    </w:pPr>
    <w:rPr>
      <w:rFonts w:asciiTheme="minorHAnsi" w:eastAsia="仿宋" w:hAnsiTheme="minorHAnsi" w:cs="Times New Roman (正文 CS 字体)"/>
      <w:sz w:val="28"/>
      <w:szCs w:val="22"/>
      <w:lang w:eastAsia="en-US"/>
    </w:rPr>
  </w:style>
  <w:style w:type="paragraph" w:styleId="1">
    <w:name w:val="heading 1"/>
    <w:basedOn w:val="a"/>
    <w:next w:val="a"/>
    <w:uiPriority w:val="9"/>
    <w:qFormat/>
    <w:pPr>
      <w:spacing w:before="197"/>
      <w:ind w:firstLine="561"/>
      <w:jc w:val="left"/>
      <w:outlineLvl w:val="0"/>
    </w:pPr>
    <w:rPr>
      <w:rFonts w:ascii="仿宋" w:eastAsia="黑体" w:hAnsi="仿宋"/>
      <w:bCs/>
      <w:sz w:val="32"/>
      <w:szCs w:val="28"/>
      <w:lang w:eastAsia="zh-CN"/>
    </w:rPr>
  </w:style>
  <w:style w:type="paragraph" w:styleId="2">
    <w:name w:val="heading 2"/>
    <w:basedOn w:val="a"/>
    <w:next w:val="a"/>
    <w:uiPriority w:val="9"/>
    <w:unhideWhenUsed/>
    <w:qFormat/>
    <w:pPr>
      <w:keepNext/>
      <w:keepLines/>
      <w:spacing w:before="500" w:after="500" w:line="240" w:lineRule="auto"/>
      <w:jc w:val="left"/>
      <w:outlineLvl w:val="1"/>
    </w:pPr>
    <w:rPr>
      <w:rFonts w:asciiTheme="majorHAnsi" w:hAnsiTheme="majorHAnsi" w:cstheme="majorBidi"/>
      <w:bCs/>
      <w:sz w:val="30"/>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spacing w:before="197"/>
      <w:ind w:left="120" w:firstLine="559"/>
    </w:pPr>
    <w:rPr>
      <w:rFonts w:ascii="仿宋" w:hAnsi="仿宋"/>
      <w:szCs w:val="28"/>
    </w:rPr>
  </w:style>
  <w:style w:type="paragraph" w:styleId="a4">
    <w:name w:val="footer"/>
    <w:basedOn w:val="a"/>
    <w:uiPriority w:val="99"/>
    <w:unhideWhenUsed/>
    <w:qFormat/>
    <w:pPr>
      <w:tabs>
        <w:tab w:val="center" w:pos="4153"/>
        <w:tab w:val="right" w:pos="8306"/>
      </w:tabs>
      <w:spacing w:line="240" w:lineRule="auto"/>
      <w:jc w:val="left"/>
    </w:pPr>
    <w:rPr>
      <w:sz w:val="18"/>
      <w:szCs w:val="18"/>
    </w:rPr>
  </w:style>
  <w:style w:type="paragraph" w:styleId="a5">
    <w:name w:val="header"/>
    <w:basedOn w:val="a"/>
    <w:uiPriority w:val="99"/>
    <w:unhideWhenUsed/>
    <w:qFormat/>
    <w:pPr>
      <w:pBdr>
        <w:bottom w:val="single" w:sz="6" w:space="1" w:color="auto"/>
      </w:pBdr>
      <w:tabs>
        <w:tab w:val="center" w:pos="4153"/>
        <w:tab w:val="right" w:pos="8306"/>
      </w:tabs>
      <w:spacing w:line="240" w:lineRule="auto"/>
      <w:jc w:val="center"/>
    </w:pPr>
    <w:rPr>
      <w:sz w:val="18"/>
      <w:szCs w:val="18"/>
    </w:rPr>
  </w:style>
  <w:style w:type="paragraph" w:styleId="TOC1">
    <w:name w:val="toc 1"/>
    <w:basedOn w:val="a"/>
    <w:next w:val="a"/>
    <w:uiPriority w:val="39"/>
    <w:unhideWhenUsed/>
    <w:qFormat/>
    <w:pPr>
      <w:spacing w:before="120" w:after="120"/>
    </w:pPr>
    <w:rPr>
      <w:rFonts w:cstheme="minorHAnsi"/>
      <w:b/>
      <w:bCs/>
      <w:caps/>
      <w:sz w:val="20"/>
      <w:szCs w:val="20"/>
    </w:rPr>
  </w:style>
  <w:style w:type="paragraph" w:styleId="TOC2">
    <w:name w:val="toc 2"/>
    <w:basedOn w:val="a"/>
    <w:next w:val="a"/>
    <w:uiPriority w:val="39"/>
    <w:unhideWhenUsed/>
    <w:qFormat/>
    <w:pPr>
      <w:ind w:left="280"/>
    </w:pPr>
    <w:rPr>
      <w:rFonts w:cstheme="minorHAnsi"/>
      <w:smallCaps/>
      <w:sz w:val="20"/>
      <w:szCs w:val="20"/>
    </w:rPr>
  </w:style>
  <w:style w:type="paragraph" w:styleId="a6">
    <w:name w:val="Normal (Web)"/>
    <w:basedOn w:val="a"/>
    <w:uiPriority w:val="99"/>
    <w:semiHidden/>
    <w:unhideWhenUsed/>
    <w:qFormat/>
    <w:pPr>
      <w:spacing w:beforeAutospacing="1" w:afterAutospacing="1"/>
      <w:jc w:val="left"/>
    </w:pPr>
    <w:rPr>
      <w:rFonts w:cs="Times New Roman"/>
      <w:sz w:val="24"/>
      <w:lang w:eastAsia="zh-CN"/>
    </w:rPr>
  </w:style>
  <w:style w:type="character" w:styleId="a7">
    <w:name w:val="page number"/>
    <w:basedOn w:val="a0"/>
    <w:uiPriority w:val="99"/>
    <w:semiHidden/>
    <w:unhideWhenUsed/>
    <w:qFormat/>
  </w:style>
  <w:style w:type="character" w:styleId="a8">
    <w:name w:val="Hyperlink"/>
    <w:basedOn w:val="a0"/>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3257</Words>
  <Characters>18570</Characters>
  <Application>Microsoft Office Word</Application>
  <DocSecurity>0</DocSecurity>
  <Lines>154</Lines>
  <Paragraphs>43</Paragraphs>
  <ScaleCrop>false</ScaleCrop>
  <Company/>
  <LinksUpToDate>false</LinksUpToDate>
  <CharactersWithSpaces>21784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抚书</dc:creator>
  <cp:lastModifiedBy>王晓辉</cp:lastModifiedBy>
  <cp:revision>2</cp:revision>
  <dcterms:created xsi:type="dcterms:W3CDTF">2026-10-16T01:22:00Z</dcterms:created>
  <dcterms:modified xsi:type="dcterms:W3CDTF">2026-10-29T06:17:00Z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58B86000ECA3463686A7E66C65DFD7CF_11</vt:lpwstr>
  </property>
  <property fmtid="{D5CDD505-2E9C-101B-9397-08002B2CF9AE}" pid="4" name="KSOTemplateDocerSaveRecord">
    <vt:lpwstr>eyJoZGlkIjoiODdjM2MxYTg3MTc2OGE5MDBhODA0OGU5NDFkZjA5ZTEiLCJ1c2VySWQiOiIyMjkyNjU3NDgifQ==</vt:lpwstr>
  </property>
</Properties>
</file>