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2631C" w14:textId="77777777" w:rsidR="00D937E9" w:rsidRDefault="00D937E9">
      <w:pPr>
        <w:spacing w:line="480" w:lineRule="exact"/>
        <w:ind w:firstLine="400"/>
        <w:rPr>
          <w:rFonts w:ascii="Times New Roman" w:eastAsia="Times New Roman" w:hAnsi="Times New Roman" w:cs="Times New Roman"/>
          <w:sz w:val="20"/>
          <w:szCs w:val="20"/>
        </w:rPr>
      </w:pPr>
    </w:p>
    <w:p w14:paraId="2CDA9681" w14:textId="77777777" w:rsidR="00885EBE" w:rsidRPr="00885EBE" w:rsidRDefault="00885EBE" w:rsidP="00885EBE">
      <w:pPr>
        <w:spacing w:line="480" w:lineRule="exact"/>
        <w:ind w:firstLine="400"/>
        <w:rPr>
          <w:rFonts w:ascii="Times New Roman" w:eastAsia="Times New Roman" w:hAnsi="Times New Roman" w:cs="Times New Roman"/>
          <w:sz w:val="20"/>
          <w:szCs w:val="20"/>
        </w:rPr>
      </w:pPr>
    </w:p>
    <w:p w14:paraId="58CC99E5" w14:textId="77777777" w:rsidR="00885EBE" w:rsidRPr="00885EBE" w:rsidRDefault="00885EBE" w:rsidP="00885EBE">
      <w:pPr>
        <w:spacing w:line="480" w:lineRule="exact"/>
        <w:ind w:firstLine="400"/>
        <w:rPr>
          <w:rFonts w:ascii="Times New Roman" w:eastAsia="Times New Roman" w:hAnsi="Times New Roman" w:cs="Times New Roman"/>
          <w:sz w:val="20"/>
          <w:szCs w:val="20"/>
        </w:rPr>
      </w:pPr>
    </w:p>
    <w:p w14:paraId="3C38C786" w14:textId="77777777" w:rsidR="00885EBE" w:rsidRPr="00885EBE" w:rsidRDefault="00885EBE" w:rsidP="00885EBE">
      <w:pPr>
        <w:spacing w:line="480" w:lineRule="exact"/>
        <w:ind w:firstLine="400"/>
        <w:rPr>
          <w:rFonts w:ascii="Times New Roman" w:eastAsia="Times New Roman" w:hAnsi="Times New Roman" w:cs="Times New Roman"/>
          <w:sz w:val="20"/>
          <w:szCs w:val="20"/>
        </w:rPr>
      </w:pPr>
    </w:p>
    <w:p w14:paraId="694B37A5" w14:textId="77777777" w:rsidR="00885EBE" w:rsidRPr="00885EBE" w:rsidRDefault="00885EBE" w:rsidP="00885EBE">
      <w:pPr>
        <w:spacing w:line="480" w:lineRule="exact"/>
        <w:ind w:firstLine="400"/>
        <w:rPr>
          <w:rFonts w:ascii="Times New Roman" w:eastAsia="宋体" w:hAnsi="Times New Roman" w:cs="Times New Roman"/>
          <w:sz w:val="20"/>
          <w:szCs w:val="20"/>
          <w:lang w:eastAsia="zh-CN"/>
        </w:rPr>
      </w:pPr>
    </w:p>
    <w:p w14:paraId="05A2983A" w14:textId="77777777" w:rsidR="00885EBE" w:rsidRPr="00885EBE" w:rsidRDefault="00885EBE" w:rsidP="00885EBE">
      <w:pPr>
        <w:spacing w:line="480" w:lineRule="exact"/>
        <w:ind w:firstLine="400"/>
        <w:rPr>
          <w:rFonts w:ascii="Times New Roman" w:eastAsia="宋体" w:hAnsi="Times New Roman" w:cs="Times New Roman"/>
          <w:sz w:val="20"/>
          <w:szCs w:val="20"/>
          <w:lang w:eastAsia="zh-CN"/>
        </w:rPr>
      </w:pPr>
    </w:p>
    <w:p w14:paraId="49B69008" w14:textId="77777777" w:rsidR="00885EBE" w:rsidRPr="00885EBE" w:rsidRDefault="00885EBE" w:rsidP="00885EBE">
      <w:pPr>
        <w:spacing w:line="480" w:lineRule="exact"/>
        <w:ind w:firstLine="400"/>
        <w:rPr>
          <w:rFonts w:ascii="Times New Roman" w:eastAsia="宋体" w:hAnsi="Times New Roman" w:cs="Times New Roman"/>
          <w:sz w:val="20"/>
          <w:szCs w:val="20"/>
          <w:lang w:eastAsia="zh-CN"/>
        </w:rPr>
      </w:pPr>
    </w:p>
    <w:p w14:paraId="7BC06E20" w14:textId="77777777" w:rsidR="00885EBE" w:rsidRPr="00885EBE" w:rsidRDefault="00885EBE" w:rsidP="00885EBE">
      <w:pPr>
        <w:widowControl w:val="0"/>
        <w:snapToGrid w:val="0"/>
        <w:spacing w:afterLines="50" w:after="120" w:line="240" w:lineRule="auto"/>
        <w:ind w:firstLineChars="0" w:firstLine="0"/>
        <w:contextualSpacing/>
        <w:jc w:val="center"/>
        <w:rPr>
          <w:rFonts w:ascii="方正小标宋简体" w:eastAsia="方正小标宋简体" w:hAnsi="华文中宋" w:cs="华文中宋"/>
          <w:color w:val="000000"/>
          <w:kern w:val="2"/>
          <w:sz w:val="44"/>
          <w:szCs w:val="44"/>
          <w:lang w:eastAsia="zh-CN"/>
        </w:rPr>
      </w:pPr>
      <w:r w:rsidRPr="00885EBE">
        <w:rPr>
          <w:rFonts w:ascii="方正小标宋简体" w:eastAsia="方正小标宋简体" w:hAnsi="华文中宋" w:cs="华文中宋"/>
          <w:color w:val="000000"/>
          <w:kern w:val="2"/>
          <w:sz w:val="44"/>
          <w:szCs w:val="44"/>
          <w:lang w:eastAsia="zh-CN"/>
        </w:rPr>
        <w:t>河南省律师协会税收法律专业委员会</w:t>
      </w:r>
    </w:p>
    <w:p w14:paraId="204DBF0F" w14:textId="77777777" w:rsidR="00885EBE" w:rsidRPr="00885EBE" w:rsidRDefault="00885EBE" w:rsidP="00885EBE">
      <w:pPr>
        <w:widowControl w:val="0"/>
        <w:snapToGrid w:val="0"/>
        <w:spacing w:afterLines="50" w:after="120" w:line="240" w:lineRule="auto"/>
        <w:ind w:firstLineChars="0" w:firstLine="0"/>
        <w:contextualSpacing/>
        <w:jc w:val="center"/>
        <w:rPr>
          <w:rFonts w:ascii="方正小标宋简体" w:eastAsia="方正小标宋简体" w:hAnsi="华文中宋" w:cs="华文中宋"/>
          <w:color w:val="000000"/>
          <w:kern w:val="2"/>
          <w:sz w:val="44"/>
          <w:szCs w:val="44"/>
          <w:lang w:eastAsia="zh-CN"/>
        </w:rPr>
      </w:pPr>
      <w:r w:rsidRPr="00885EBE">
        <w:rPr>
          <w:rFonts w:ascii="方正小标宋简体" w:eastAsia="方正小标宋简体" w:hAnsi="华文中宋" w:cs="华文中宋"/>
          <w:color w:val="000000"/>
          <w:kern w:val="2"/>
          <w:sz w:val="44"/>
          <w:szCs w:val="44"/>
          <w:lang w:eastAsia="zh-CN"/>
        </w:rPr>
        <w:t>税 法 速 递</w:t>
      </w:r>
    </w:p>
    <w:p w14:paraId="61A7589F" w14:textId="77777777" w:rsidR="00885EBE" w:rsidRPr="00885EBE" w:rsidRDefault="00885EBE" w:rsidP="00885EBE">
      <w:pPr>
        <w:spacing w:afterLines="50" w:after="120" w:line="240" w:lineRule="auto"/>
        <w:ind w:firstLine="840"/>
        <w:jc w:val="center"/>
        <w:rPr>
          <w:rFonts w:ascii="微软雅黑" w:eastAsia="微软雅黑" w:hAnsi="微软雅黑" w:cs="微软雅黑"/>
          <w:sz w:val="42"/>
          <w:szCs w:val="42"/>
          <w:lang w:eastAsia="zh-CN"/>
        </w:rPr>
      </w:pPr>
    </w:p>
    <w:p w14:paraId="6BFFB21D" w14:textId="77777777" w:rsidR="00885EBE" w:rsidRPr="00885EBE" w:rsidRDefault="00885EBE" w:rsidP="00885EBE">
      <w:pPr>
        <w:spacing w:line="480" w:lineRule="exact"/>
        <w:ind w:firstLine="840"/>
        <w:rPr>
          <w:rFonts w:ascii="微软雅黑" w:eastAsia="微软雅黑" w:hAnsi="微软雅黑" w:cs="微软雅黑"/>
          <w:sz w:val="42"/>
          <w:szCs w:val="42"/>
          <w:lang w:eastAsia="zh-CN"/>
        </w:rPr>
      </w:pPr>
    </w:p>
    <w:p w14:paraId="4B60E105" w14:textId="77777777" w:rsidR="00885EBE" w:rsidRPr="00885EBE" w:rsidRDefault="00885EBE" w:rsidP="00885EBE">
      <w:pPr>
        <w:spacing w:line="480" w:lineRule="exact"/>
        <w:ind w:firstLine="840"/>
        <w:rPr>
          <w:rFonts w:ascii="微软雅黑" w:eastAsia="微软雅黑" w:hAnsi="微软雅黑" w:cs="微软雅黑"/>
          <w:sz w:val="42"/>
          <w:szCs w:val="42"/>
          <w:lang w:eastAsia="zh-CN"/>
        </w:rPr>
      </w:pPr>
    </w:p>
    <w:p w14:paraId="5EA5589A" w14:textId="77777777" w:rsidR="00885EBE" w:rsidRPr="00885EBE" w:rsidRDefault="00885EBE" w:rsidP="00885EBE">
      <w:pPr>
        <w:spacing w:line="480" w:lineRule="exact"/>
        <w:ind w:firstLine="840"/>
        <w:rPr>
          <w:rFonts w:ascii="微软雅黑" w:eastAsia="微软雅黑" w:hAnsi="微软雅黑" w:cs="微软雅黑"/>
          <w:sz w:val="42"/>
          <w:szCs w:val="42"/>
          <w:lang w:eastAsia="zh-CN"/>
        </w:rPr>
      </w:pPr>
    </w:p>
    <w:p w14:paraId="0844F958" w14:textId="77777777" w:rsidR="00885EBE" w:rsidRPr="00885EBE" w:rsidRDefault="00885EBE" w:rsidP="00885EBE">
      <w:pPr>
        <w:spacing w:line="480" w:lineRule="exact"/>
        <w:ind w:firstLine="840"/>
        <w:rPr>
          <w:rFonts w:ascii="微软雅黑" w:eastAsia="微软雅黑" w:hAnsi="微软雅黑" w:cs="微软雅黑"/>
          <w:sz w:val="42"/>
          <w:szCs w:val="42"/>
          <w:lang w:eastAsia="zh-CN"/>
        </w:rPr>
      </w:pPr>
    </w:p>
    <w:p w14:paraId="591E5FF0" w14:textId="77777777" w:rsidR="00885EBE" w:rsidRPr="00885EBE" w:rsidRDefault="00885EBE" w:rsidP="00885EBE">
      <w:pPr>
        <w:spacing w:line="480" w:lineRule="exact"/>
        <w:ind w:firstLine="840"/>
        <w:rPr>
          <w:rFonts w:ascii="微软雅黑" w:eastAsia="微软雅黑" w:hAnsi="微软雅黑" w:cs="微软雅黑"/>
          <w:sz w:val="42"/>
          <w:szCs w:val="42"/>
          <w:lang w:eastAsia="zh-CN"/>
        </w:rPr>
      </w:pPr>
    </w:p>
    <w:p w14:paraId="7D535226" w14:textId="77777777" w:rsidR="00885EBE" w:rsidRPr="00885EBE" w:rsidRDefault="00885EBE" w:rsidP="00885EBE">
      <w:pPr>
        <w:spacing w:line="480" w:lineRule="exact"/>
        <w:ind w:firstLine="840"/>
        <w:rPr>
          <w:rFonts w:ascii="微软雅黑" w:eastAsia="微软雅黑" w:hAnsi="微软雅黑" w:cs="微软雅黑"/>
          <w:sz w:val="42"/>
          <w:szCs w:val="42"/>
          <w:lang w:eastAsia="zh-CN"/>
        </w:rPr>
      </w:pPr>
    </w:p>
    <w:p w14:paraId="00838574" w14:textId="77777777" w:rsidR="00885EBE" w:rsidRPr="00885EBE" w:rsidRDefault="00885EBE" w:rsidP="00885EBE">
      <w:pPr>
        <w:spacing w:line="480" w:lineRule="exact"/>
        <w:ind w:firstLine="840"/>
        <w:rPr>
          <w:rFonts w:ascii="微软雅黑" w:eastAsia="微软雅黑" w:hAnsi="微软雅黑" w:cs="微软雅黑"/>
          <w:sz w:val="42"/>
          <w:szCs w:val="42"/>
          <w:lang w:eastAsia="zh-CN"/>
        </w:rPr>
      </w:pPr>
    </w:p>
    <w:p w14:paraId="50A35A2D" w14:textId="77777777" w:rsidR="00885EBE" w:rsidRPr="00885EBE" w:rsidRDefault="00885EBE" w:rsidP="00885EBE">
      <w:pPr>
        <w:spacing w:line="480" w:lineRule="exact"/>
        <w:ind w:firstLine="840"/>
        <w:rPr>
          <w:rFonts w:ascii="微软雅黑" w:eastAsia="微软雅黑" w:hAnsi="微软雅黑" w:cs="微软雅黑"/>
          <w:sz w:val="42"/>
          <w:szCs w:val="42"/>
          <w:lang w:eastAsia="zh-CN"/>
        </w:rPr>
      </w:pPr>
    </w:p>
    <w:p w14:paraId="25C7628B" w14:textId="77777777" w:rsidR="00885EBE" w:rsidRPr="00885EBE" w:rsidRDefault="00885EBE" w:rsidP="00885EBE">
      <w:pPr>
        <w:spacing w:line="480" w:lineRule="exact"/>
        <w:ind w:firstLine="840"/>
        <w:rPr>
          <w:rFonts w:ascii="微软雅黑" w:eastAsia="微软雅黑" w:hAnsi="微软雅黑" w:cs="微软雅黑"/>
          <w:sz w:val="42"/>
          <w:szCs w:val="42"/>
          <w:lang w:eastAsia="zh-CN"/>
        </w:rPr>
      </w:pPr>
    </w:p>
    <w:p w14:paraId="6D1C268A" w14:textId="77777777" w:rsidR="00885EBE" w:rsidRPr="00885EBE" w:rsidRDefault="00885EBE" w:rsidP="00885EBE">
      <w:pPr>
        <w:spacing w:line="480" w:lineRule="exact"/>
        <w:ind w:firstLine="840"/>
        <w:rPr>
          <w:rFonts w:ascii="微软雅黑" w:eastAsia="微软雅黑" w:hAnsi="微软雅黑" w:cs="微软雅黑"/>
          <w:sz w:val="42"/>
          <w:szCs w:val="42"/>
          <w:lang w:eastAsia="zh-CN"/>
        </w:rPr>
      </w:pPr>
    </w:p>
    <w:p w14:paraId="6BFF773D" w14:textId="77777777" w:rsidR="00885EBE" w:rsidRPr="00885EBE" w:rsidRDefault="00885EBE" w:rsidP="00885EBE">
      <w:pPr>
        <w:spacing w:line="480" w:lineRule="exact"/>
        <w:ind w:firstLine="680"/>
        <w:rPr>
          <w:rFonts w:ascii="微软雅黑" w:eastAsia="微软雅黑" w:hAnsi="微软雅黑" w:cs="微软雅黑"/>
          <w:sz w:val="34"/>
          <w:szCs w:val="34"/>
          <w:lang w:eastAsia="zh-CN"/>
        </w:rPr>
      </w:pPr>
    </w:p>
    <w:p w14:paraId="428E49C9" w14:textId="77777777" w:rsidR="00885EBE" w:rsidRPr="00885EBE" w:rsidRDefault="00885EBE" w:rsidP="00885EBE">
      <w:pPr>
        <w:spacing w:line="480" w:lineRule="exact"/>
        <w:ind w:firstLine="680"/>
        <w:rPr>
          <w:rFonts w:ascii="微软雅黑" w:eastAsia="微软雅黑" w:hAnsi="微软雅黑" w:cs="微软雅黑"/>
          <w:sz w:val="34"/>
          <w:szCs w:val="34"/>
          <w:lang w:eastAsia="zh-CN"/>
        </w:rPr>
      </w:pPr>
    </w:p>
    <w:p w14:paraId="67B169C7" w14:textId="77777777" w:rsidR="00885EBE" w:rsidRPr="00885EBE" w:rsidRDefault="00885EBE" w:rsidP="00885EBE">
      <w:pPr>
        <w:spacing w:line="480" w:lineRule="exact"/>
        <w:ind w:firstLine="680"/>
        <w:rPr>
          <w:rFonts w:ascii="微软雅黑" w:eastAsia="微软雅黑" w:hAnsi="微软雅黑" w:cs="微软雅黑"/>
          <w:sz w:val="34"/>
          <w:szCs w:val="34"/>
          <w:lang w:eastAsia="zh-CN"/>
        </w:rPr>
      </w:pPr>
    </w:p>
    <w:p w14:paraId="1C33D541" w14:textId="77777777" w:rsidR="00885EBE" w:rsidRPr="00885EBE" w:rsidRDefault="00885EBE" w:rsidP="00885EBE">
      <w:pPr>
        <w:spacing w:line="480" w:lineRule="exact"/>
        <w:ind w:right="380" w:firstLineChars="46" w:firstLine="166"/>
        <w:jc w:val="center"/>
        <w:rPr>
          <w:rFonts w:ascii="华文中宋" w:eastAsia="华文中宋" w:hAnsi="华文中宋" w:cs="微软雅黑"/>
          <w:sz w:val="36"/>
          <w:szCs w:val="36"/>
          <w:lang w:eastAsia="zh-CN"/>
        </w:rPr>
      </w:pPr>
    </w:p>
    <w:p w14:paraId="0B88EFEA" w14:textId="5FFC3C33" w:rsidR="00885EBE" w:rsidRPr="00885EBE" w:rsidRDefault="00885EBE" w:rsidP="00885EBE">
      <w:pPr>
        <w:widowControl w:val="0"/>
        <w:tabs>
          <w:tab w:val="right" w:leader="dot" w:pos="8306"/>
        </w:tabs>
        <w:spacing w:line="480" w:lineRule="exact"/>
        <w:ind w:leftChars="-1" w:left="-1" w:firstLineChars="0" w:hanging="2"/>
        <w:jc w:val="center"/>
        <w:rPr>
          <w:rFonts w:ascii="Times New Roman" w:eastAsia="楷体" w:hAnsi="Times New Roman" w:cs="Times New Roman"/>
          <w:color w:val="000000"/>
          <w:kern w:val="2"/>
          <w:sz w:val="32"/>
          <w:szCs w:val="32"/>
          <w:lang w:eastAsia="zh-CN"/>
        </w:rPr>
      </w:pPr>
      <w:r w:rsidRPr="00885EBE">
        <w:rPr>
          <w:rFonts w:ascii="Times New Roman" w:eastAsia="楷体" w:hAnsi="Times New Roman" w:cs="Times New Roman"/>
          <w:color w:val="000000"/>
          <w:kern w:val="2"/>
          <w:sz w:val="32"/>
          <w:szCs w:val="32"/>
          <w:lang w:eastAsia="zh-CN"/>
        </w:rPr>
        <w:t>2026</w:t>
      </w:r>
      <w:r w:rsidRPr="00885EBE">
        <w:rPr>
          <w:rFonts w:ascii="Times New Roman" w:eastAsia="楷体" w:hAnsi="Times New Roman" w:cs="Times New Roman"/>
          <w:color w:val="000000"/>
          <w:kern w:val="2"/>
          <w:sz w:val="32"/>
          <w:szCs w:val="32"/>
          <w:lang w:eastAsia="zh-CN"/>
        </w:rPr>
        <w:t>年</w:t>
      </w:r>
      <w:r>
        <w:rPr>
          <w:rFonts w:ascii="Times New Roman" w:eastAsia="楷体" w:hAnsi="Times New Roman" w:cs="Times New Roman" w:hint="eastAsia"/>
          <w:color w:val="000000"/>
          <w:kern w:val="2"/>
          <w:sz w:val="32"/>
          <w:szCs w:val="32"/>
          <w:lang w:eastAsia="zh-CN"/>
        </w:rPr>
        <w:t>8</w:t>
      </w:r>
      <w:r w:rsidRPr="00885EBE">
        <w:rPr>
          <w:rFonts w:ascii="Times New Roman" w:eastAsia="楷体" w:hAnsi="Times New Roman" w:cs="Times New Roman"/>
          <w:color w:val="000000"/>
          <w:kern w:val="2"/>
          <w:sz w:val="32"/>
          <w:szCs w:val="32"/>
          <w:lang w:eastAsia="zh-CN"/>
        </w:rPr>
        <w:t>月</w:t>
      </w:r>
    </w:p>
    <w:p w14:paraId="0BA0B1AA" w14:textId="77777777" w:rsidR="00D937E9" w:rsidRDefault="00D937E9">
      <w:pPr>
        <w:pStyle w:val="TOC2"/>
        <w:widowControl w:val="0"/>
        <w:tabs>
          <w:tab w:val="right" w:leader="dot" w:pos="8306"/>
        </w:tabs>
        <w:spacing w:line="480" w:lineRule="exact"/>
        <w:ind w:leftChars="200" w:left="560" w:firstLineChars="0" w:firstLine="0"/>
        <w:jc w:val="center"/>
        <w:rPr>
          <w:rFonts w:ascii="华文中宋" w:eastAsia="华文中宋" w:hAnsi="华文中宋" w:cs="华文中宋" w:hint="eastAsia"/>
          <w:b/>
          <w:bCs/>
          <w:smallCaps w:val="0"/>
          <w:color w:val="000000"/>
          <w:kern w:val="2"/>
          <w:sz w:val="36"/>
          <w:szCs w:val="36"/>
          <w:lang w:eastAsia="zh-CN"/>
        </w:rPr>
        <w:sectPr w:rsidR="00D937E9">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380" w:right="1680" w:bottom="280" w:left="1680" w:header="947" w:footer="720" w:gutter="0"/>
          <w:cols w:space="720"/>
        </w:sectPr>
      </w:pPr>
    </w:p>
    <w:p w14:paraId="2ECC7F1B" w14:textId="77777777" w:rsidR="00D937E9" w:rsidRDefault="00000000">
      <w:pPr>
        <w:pStyle w:val="TOC2"/>
        <w:tabs>
          <w:tab w:val="right" w:leader="dot" w:pos="8630"/>
        </w:tabs>
        <w:adjustRightInd w:val="0"/>
        <w:snapToGrid w:val="0"/>
        <w:spacing w:beforeLines="100" w:before="240" w:afterLines="100" w:after="240"/>
        <w:ind w:left="278" w:firstLine="960"/>
        <w:jc w:val="center"/>
        <w:rPr>
          <w:rFonts w:ascii="华文中宋" w:eastAsia="华文中宋" w:hAnsi="华文中宋" w:cs="华文中宋" w:hint="eastAsia"/>
          <w:sz w:val="36"/>
          <w:szCs w:val="36"/>
          <w:lang w:eastAsia="zh-CN"/>
        </w:rPr>
      </w:pPr>
      <w:bookmarkStart w:id="0" w:name="_Toc21950"/>
      <w:bookmarkStart w:id="1" w:name="_Toc1697"/>
      <w:r>
        <w:rPr>
          <w:rFonts w:ascii="黑体" w:eastAsia="黑体" w:hAnsi="黑体" w:cs="黑体" w:hint="eastAsia"/>
          <w:bCs/>
          <w:smallCaps w:val="0"/>
          <w:color w:val="000000"/>
          <w:kern w:val="2"/>
          <w:sz w:val="48"/>
          <w:szCs w:val="48"/>
          <w:lang w:eastAsia="zh-CN"/>
        </w:rPr>
        <w:lastRenderedPageBreak/>
        <w:t>目  录</w:t>
      </w:r>
      <w:bookmarkEnd w:id="0"/>
      <w:bookmarkEnd w:id="1"/>
    </w:p>
    <w:bookmarkStart w:id="2" w:name="_Toc12028" w:displacedByCustomXml="next"/>
    <w:bookmarkStart w:id="3" w:name="_Toc20980" w:displacedByCustomXml="next"/>
    <w:bookmarkStart w:id="4" w:name="_Toc23636" w:displacedByCustomXml="next"/>
    <w:sdt>
      <w:sdtPr>
        <w:rPr>
          <w:rFonts w:ascii="宋体" w:eastAsia="宋体" w:hAnsi="宋体"/>
          <w:bCs/>
          <w:sz w:val="21"/>
        </w:rPr>
        <w:id w:val="147462772"/>
        <w15:color w:val="DBDBDB"/>
        <w:docPartObj>
          <w:docPartGallery w:val="Table of Contents"/>
          <w:docPartUnique/>
        </w:docPartObj>
      </w:sdtPr>
      <w:sdtEndPr>
        <w:rPr>
          <w:rFonts w:cs="宋体" w:hint="eastAsia"/>
          <w:sz w:val="24"/>
          <w:szCs w:val="24"/>
          <w:lang w:eastAsia="zh-CN"/>
        </w:rPr>
      </w:sdtEndPr>
      <w:sdtContent>
        <w:p w14:paraId="7634F90F" w14:textId="77777777" w:rsidR="00D937E9" w:rsidRDefault="00D937E9">
          <w:pPr>
            <w:spacing w:line="240" w:lineRule="auto"/>
            <w:ind w:firstLineChars="0" w:firstLine="0"/>
            <w:jc w:val="center"/>
          </w:pPr>
        </w:p>
        <w:p w14:paraId="6943B4E0" w14:textId="77777777" w:rsidR="00D937E9" w:rsidRDefault="00000000">
          <w:pPr>
            <w:pStyle w:val="TOC1"/>
            <w:tabs>
              <w:tab w:val="right" w:leader="middleDot" w:pos="9750"/>
            </w:tabs>
            <w:spacing w:line="480" w:lineRule="auto"/>
            <w:ind w:firstLine="482"/>
            <w:rPr>
              <w:rFonts w:ascii="仿宋" w:hAnsi="仿宋" w:cs="仿宋" w:hint="eastAsia"/>
              <w:sz w:val="28"/>
              <w:szCs w:val="28"/>
            </w:rPr>
          </w:pPr>
          <w:r>
            <w:rPr>
              <w:rFonts w:ascii="宋体" w:eastAsia="宋体" w:hAnsi="宋体" w:cs="宋体" w:hint="eastAsia"/>
              <w:sz w:val="24"/>
              <w:szCs w:val="24"/>
              <w:lang w:eastAsia="zh-CN"/>
            </w:rPr>
            <w:fldChar w:fldCharType="begin"/>
          </w:r>
          <w:r>
            <w:rPr>
              <w:rFonts w:ascii="宋体" w:eastAsia="宋体" w:hAnsi="宋体" w:cs="宋体" w:hint="eastAsia"/>
              <w:sz w:val="24"/>
              <w:szCs w:val="24"/>
              <w:lang w:eastAsia="zh-CN"/>
            </w:rPr>
            <w:instrText xml:space="preserve">TOC \o "1-2" \h \u </w:instrText>
          </w:r>
          <w:r>
            <w:rPr>
              <w:rFonts w:ascii="宋体" w:eastAsia="宋体" w:hAnsi="宋体" w:cs="宋体" w:hint="eastAsia"/>
              <w:sz w:val="24"/>
              <w:szCs w:val="24"/>
              <w:lang w:eastAsia="zh-CN"/>
            </w:rPr>
            <w:fldChar w:fldCharType="separate"/>
          </w:r>
          <w:hyperlink w:anchor="_Toc24477" w:history="1">
            <w:r>
              <w:rPr>
                <w:rFonts w:ascii="仿宋" w:hAnsi="仿宋" w:cs="仿宋" w:hint="eastAsia"/>
                <w:sz w:val="28"/>
                <w:szCs w:val="28"/>
                <w:lang w:eastAsia="zh-CN"/>
              </w:rPr>
              <w:t>一、编写律师简介</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_Toc24477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1</w:t>
            </w:r>
            <w:r>
              <w:rPr>
                <w:rFonts w:ascii="仿宋" w:hAnsi="仿宋" w:cs="仿宋" w:hint="eastAsia"/>
                <w:sz w:val="28"/>
                <w:szCs w:val="28"/>
              </w:rPr>
              <w:fldChar w:fldCharType="end"/>
            </w:r>
          </w:hyperlink>
        </w:p>
        <w:p w14:paraId="657EDC1A" w14:textId="77777777" w:rsidR="00D937E9" w:rsidRDefault="00000000">
          <w:pPr>
            <w:pStyle w:val="TOC1"/>
            <w:tabs>
              <w:tab w:val="right" w:leader="middleDot" w:pos="9750"/>
            </w:tabs>
            <w:spacing w:line="480" w:lineRule="auto"/>
            <w:ind w:firstLine="562"/>
            <w:rPr>
              <w:rFonts w:ascii="仿宋" w:hAnsi="仿宋" w:cs="仿宋" w:hint="eastAsia"/>
              <w:sz w:val="28"/>
              <w:szCs w:val="28"/>
            </w:rPr>
          </w:pPr>
          <w:hyperlink w:anchor="_Toc24349" w:history="1">
            <w:r>
              <w:rPr>
                <w:rFonts w:ascii="仿宋" w:hAnsi="仿宋" w:cs="仿宋" w:hint="eastAsia"/>
                <w:sz w:val="28"/>
                <w:szCs w:val="28"/>
                <w:lang w:eastAsia="zh-CN"/>
              </w:rPr>
              <w:t>二、 要闻播报</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_Toc24349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2</w:t>
            </w:r>
            <w:r>
              <w:rPr>
                <w:rFonts w:ascii="仿宋" w:hAnsi="仿宋" w:cs="仿宋" w:hint="eastAsia"/>
                <w:sz w:val="28"/>
                <w:szCs w:val="28"/>
              </w:rPr>
              <w:fldChar w:fldCharType="end"/>
            </w:r>
          </w:hyperlink>
        </w:p>
        <w:p w14:paraId="4ECEAC68"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23705" w:history="1">
            <w:r>
              <w:rPr>
                <w:rFonts w:ascii="仿宋" w:hAnsi="仿宋" w:cs="仿宋" w:hint="eastAsia"/>
                <w:sz w:val="28"/>
                <w:szCs w:val="28"/>
                <w:lang w:eastAsia="zh-CN"/>
              </w:rPr>
              <w:t>（一）国新办“开局起步‘十五五’”新闻发布会　财政部明确税制公平、补贴规范三大方向</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_Toc23705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2</w:t>
            </w:r>
            <w:r>
              <w:rPr>
                <w:rFonts w:ascii="仿宋" w:hAnsi="仿宋" w:cs="仿宋" w:hint="eastAsia"/>
                <w:sz w:val="28"/>
                <w:szCs w:val="28"/>
              </w:rPr>
              <w:fldChar w:fldCharType="end"/>
            </w:r>
          </w:hyperlink>
        </w:p>
        <w:p w14:paraId="69B8FF40"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6089" w:history="1">
            <w:r>
              <w:rPr>
                <w:rFonts w:ascii="仿宋" w:hAnsi="仿宋" w:cs="仿宋" w:hint="eastAsia"/>
                <w:sz w:val="28"/>
                <w:szCs w:val="28"/>
                <w:lang w:eastAsia="zh-CN"/>
              </w:rPr>
              <w:t>（二）税务部门连续第13年开展“便民办税春风行动”16条便民利企服务举措落地解决办税缴费难题</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_Toc6089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2</w:t>
            </w:r>
            <w:r>
              <w:rPr>
                <w:rFonts w:ascii="仿宋" w:hAnsi="仿宋" w:cs="仿宋" w:hint="eastAsia"/>
                <w:sz w:val="28"/>
                <w:szCs w:val="28"/>
              </w:rPr>
              <w:fldChar w:fldCharType="end"/>
            </w:r>
          </w:hyperlink>
        </w:p>
        <w:p w14:paraId="7925228C"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12236" w:history="1">
            <w:r>
              <w:rPr>
                <w:rFonts w:ascii="仿宋" w:hAnsi="仿宋" w:cs="仿宋" w:hint="eastAsia"/>
                <w:sz w:val="28"/>
                <w:szCs w:val="28"/>
                <w:lang w:eastAsia="zh-CN"/>
              </w:rPr>
              <w:t>（三）税收数据折射河南投资结构向新向优</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_Toc12236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6</w:t>
            </w:r>
            <w:r>
              <w:rPr>
                <w:rFonts w:ascii="仿宋" w:hAnsi="仿宋" w:cs="仿宋" w:hint="eastAsia"/>
                <w:sz w:val="28"/>
                <w:szCs w:val="28"/>
              </w:rPr>
              <w:fldChar w:fldCharType="end"/>
            </w:r>
          </w:hyperlink>
        </w:p>
        <w:p w14:paraId="20AB4F12"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11821" w:history="1">
            <w:r>
              <w:rPr>
                <w:rFonts w:ascii="仿宋" w:hAnsi="仿宋" w:cs="仿宋" w:hint="eastAsia"/>
                <w:sz w:val="28"/>
                <w:szCs w:val="28"/>
                <w:lang w:eastAsia="zh-CN"/>
              </w:rPr>
              <w:t>（四）制造底盘稳 消费引擎热——从1—7月增值税发票数据看全省经济运行态势</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_Toc11821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7</w:t>
            </w:r>
            <w:r>
              <w:rPr>
                <w:rFonts w:ascii="仿宋" w:hAnsi="仿宋" w:cs="仿宋" w:hint="eastAsia"/>
                <w:sz w:val="28"/>
                <w:szCs w:val="28"/>
              </w:rPr>
              <w:fldChar w:fldCharType="end"/>
            </w:r>
          </w:hyperlink>
        </w:p>
        <w:p w14:paraId="670522E7" w14:textId="77777777" w:rsidR="00D937E9" w:rsidRDefault="00000000">
          <w:pPr>
            <w:pStyle w:val="TOC1"/>
            <w:tabs>
              <w:tab w:val="right" w:leader="middleDot" w:pos="9750"/>
            </w:tabs>
            <w:spacing w:line="480" w:lineRule="auto"/>
            <w:ind w:firstLine="562"/>
            <w:rPr>
              <w:rFonts w:ascii="仿宋" w:hAnsi="仿宋" w:cs="仿宋" w:hint="eastAsia"/>
              <w:sz w:val="28"/>
              <w:szCs w:val="28"/>
            </w:rPr>
          </w:pPr>
          <w:hyperlink w:anchor="_Toc29802" w:history="1">
            <w:r>
              <w:rPr>
                <w:rFonts w:ascii="仿宋" w:hAnsi="仿宋" w:cs="仿宋" w:hint="eastAsia"/>
                <w:sz w:val="28"/>
                <w:szCs w:val="28"/>
                <w:lang w:eastAsia="zh-CN"/>
              </w:rPr>
              <w:t>三、 新法概览</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_Toc29802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8</w:t>
            </w:r>
            <w:r>
              <w:rPr>
                <w:rFonts w:ascii="仿宋" w:hAnsi="仿宋" w:cs="仿宋" w:hint="eastAsia"/>
                <w:sz w:val="28"/>
                <w:szCs w:val="28"/>
              </w:rPr>
              <w:fldChar w:fldCharType="end"/>
            </w:r>
          </w:hyperlink>
        </w:p>
        <w:p w14:paraId="4B18EF0E"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25929" w:history="1">
            <w:r>
              <w:rPr>
                <w:rFonts w:ascii="仿宋" w:hAnsi="仿宋" w:cs="仿宋" w:hint="eastAsia"/>
                <w:sz w:val="28"/>
                <w:szCs w:val="28"/>
                <w:lang w:eastAsia="zh-CN"/>
              </w:rPr>
              <w:t>（一）国家税务总局关于《中华人民共和国政府和挪威王国政府对所得消除双重征税和防止逃避税的协定》及议定书生效执行的公告　国家税务总局公告2026年第17号</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_Toc25929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8</w:t>
            </w:r>
            <w:r>
              <w:rPr>
                <w:rFonts w:ascii="仿宋" w:hAnsi="仿宋" w:cs="仿宋" w:hint="eastAsia"/>
                <w:sz w:val="28"/>
                <w:szCs w:val="28"/>
              </w:rPr>
              <w:fldChar w:fldCharType="end"/>
            </w:r>
          </w:hyperlink>
        </w:p>
        <w:p w14:paraId="1697BE96"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28889" w:history="1">
            <w:r>
              <w:rPr>
                <w:rFonts w:ascii="仿宋" w:hAnsi="仿宋" w:cs="仿宋" w:hint="eastAsia"/>
                <w:sz w:val="28"/>
                <w:szCs w:val="28"/>
                <w:lang w:eastAsia="zh-CN"/>
              </w:rPr>
              <w:t>（二）国家税务总局关于公布失效废止的部分税务规范性文件目录的公告　国家税务总局公告2026年第18号</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_Toc28889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8</w:t>
            </w:r>
            <w:r>
              <w:rPr>
                <w:rFonts w:ascii="仿宋" w:hAnsi="仿宋" w:cs="仿宋" w:hint="eastAsia"/>
                <w:sz w:val="28"/>
                <w:szCs w:val="28"/>
              </w:rPr>
              <w:fldChar w:fldCharType="end"/>
            </w:r>
          </w:hyperlink>
        </w:p>
        <w:p w14:paraId="56773371"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30922" w:history="1">
            <w:r>
              <w:rPr>
                <w:rFonts w:ascii="仿宋" w:hAnsi="仿宋" w:cs="仿宋" w:hint="eastAsia"/>
                <w:sz w:val="28"/>
                <w:szCs w:val="28"/>
                <w:lang w:eastAsia="zh-CN"/>
              </w:rPr>
              <w:t>（三）关于集成电路企业、工业母机企业非货币性资产交换企业所得税政策的公告 财政部 税务总局 国家发展改革委 工业和信息化部公告2026年第23号（发布日期：2026年8月14日）</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_Toc30922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9</w:t>
            </w:r>
            <w:r>
              <w:rPr>
                <w:rFonts w:ascii="仿宋" w:hAnsi="仿宋" w:cs="仿宋" w:hint="eastAsia"/>
                <w:sz w:val="28"/>
                <w:szCs w:val="28"/>
              </w:rPr>
              <w:fldChar w:fldCharType="end"/>
            </w:r>
          </w:hyperlink>
        </w:p>
        <w:p w14:paraId="35FD63AC"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20867" w:history="1">
            <w:r>
              <w:rPr>
                <w:rFonts w:ascii="仿宋" w:hAnsi="仿宋" w:cs="仿宋" w:hint="eastAsia"/>
                <w:sz w:val="28"/>
                <w:szCs w:val="28"/>
                <w:lang w:eastAsia="zh-CN"/>
              </w:rPr>
              <w:t>（四）财政部 税务总局关于明确非应税交易等增值税有关事项的公告  财政部 税务总局公告2026年第25号</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_Toc20867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12</w:t>
            </w:r>
            <w:r>
              <w:rPr>
                <w:rFonts w:ascii="仿宋" w:hAnsi="仿宋" w:cs="仿宋" w:hint="eastAsia"/>
                <w:sz w:val="28"/>
                <w:szCs w:val="28"/>
              </w:rPr>
              <w:fldChar w:fldCharType="end"/>
            </w:r>
          </w:hyperlink>
        </w:p>
        <w:p w14:paraId="54E58D5B"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25701" w:history="1">
            <w:r>
              <w:rPr>
                <w:rFonts w:ascii="仿宋" w:hAnsi="仿宋" w:cs="仿宋" w:hint="eastAsia"/>
                <w:sz w:val="28"/>
                <w:szCs w:val="28"/>
                <w:lang w:eastAsia="zh-CN"/>
              </w:rPr>
              <w:t>（五）财政部 税务总局 中国证监会关于规范转让上市公司限售股个人所得税政策的公告    财政部 税务总局 中国证监会公告2026年第26号</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_Toc25701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14</w:t>
            </w:r>
            <w:r>
              <w:rPr>
                <w:rFonts w:ascii="仿宋" w:hAnsi="仿宋" w:cs="仿宋" w:hint="eastAsia"/>
                <w:sz w:val="28"/>
                <w:szCs w:val="28"/>
              </w:rPr>
              <w:fldChar w:fldCharType="end"/>
            </w:r>
          </w:hyperlink>
        </w:p>
        <w:p w14:paraId="056CCE07" w14:textId="77777777" w:rsidR="00D937E9" w:rsidRDefault="00000000">
          <w:pPr>
            <w:pStyle w:val="TOC1"/>
            <w:tabs>
              <w:tab w:val="right" w:leader="middleDot" w:pos="9750"/>
            </w:tabs>
            <w:spacing w:line="480" w:lineRule="auto"/>
            <w:ind w:firstLine="562"/>
            <w:rPr>
              <w:rFonts w:ascii="仿宋" w:hAnsi="仿宋" w:cs="仿宋" w:hint="eastAsia"/>
              <w:sz w:val="28"/>
              <w:szCs w:val="28"/>
            </w:rPr>
          </w:pPr>
          <w:hyperlink w:anchor="_Toc18572" w:history="1">
            <w:r>
              <w:rPr>
                <w:rFonts w:ascii="仿宋" w:hAnsi="仿宋" w:cs="仿宋" w:hint="eastAsia"/>
                <w:sz w:val="28"/>
                <w:szCs w:val="28"/>
                <w:lang w:eastAsia="zh-CN"/>
              </w:rPr>
              <w:t>四、典型税案</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_Toc18572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16</w:t>
            </w:r>
            <w:r>
              <w:rPr>
                <w:rFonts w:ascii="仿宋" w:hAnsi="仿宋" w:cs="仿宋" w:hint="eastAsia"/>
                <w:sz w:val="28"/>
                <w:szCs w:val="28"/>
              </w:rPr>
              <w:fldChar w:fldCharType="end"/>
            </w:r>
          </w:hyperlink>
        </w:p>
        <w:p w14:paraId="3A28A096"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10724" w:history="1">
            <w:r>
              <w:rPr>
                <w:rFonts w:ascii="仿宋" w:hAnsi="仿宋" w:cs="仿宋" w:hint="eastAsia"/>
                <w:sz w:val="28"/>
                <w:szCs w:val="28"/>
                <w:lang w:eastAsia="zh-CN"/>
              </w:rPr>
              <w:t>（一）私户收款偷逃税终被查——还原哈尔滨市呼兰区康金金汇加油站偷逃税真相</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_Toc10724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16</w:t>
            </w:r>
            <w:r>
              <w:rPr>
                <w:rFonts w:ascii="仿宋" w:hAnsi="仿宋" w:cs="仿宋" w:hint="eastAsia"/>
                <w:sz w:val="28"/>
                <w:szCs w:val="28"/>
              </w:rPr>
              <w:fldChar w:fldCharType="end"/>
            </w:r>
          </w:hyperlink>
        </w:p>
        <w:p w14:paraId="43A55D41"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28643" w:history="1">
            <w:r>
              <w:rPr>
                <w:rFonts w:ascii="仿宋" w:hAnsi="仿宋" w:cs="仿宋" w:hint="eastAsia"/>
                <w:sz w:val="28"/>
                <w:szCs w:val="28"/>
                <w:lang w:eastAsia="zh-CN"/>
              </w:rPr>
              <w:t>（二）税务部门公布3起税务人员与不法分子内外勾结被查处案件</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_Toc28643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18</w:t>
            </w:r>
            <w:r>
              <w:rPr>
                <w:rFonts w:ascii="仿宋" w:hAnsi="仿宋" w:cs="仿宋" w:hint="eastAsia"/>
                <w:sz w:val="28"/>
                <w:szCs w:val="28"/>
              </w:rPr>
              <w:fldChar w:fldCharType="end"/>
            </w:r>
          </w:hyperlink>
        </w:p>
        <w:p w14:paraId="39F75A62" w14:textId="77777777" w:rsidR="00D937E9" w:rsidRDefault="00000000">
          <w:pPr>
            <w:pStyle w:val="TOC1"/>
            <w:tabs>
              <w:tab w:val="right" w:leader="middleDot" w:pos="9750"/>
            </w:tabs>
            <w:spacing w:line="480" w:lineRule="auto"/>
            <w:ind w:firstLine="562"/>
            <w:rPr>
              <w:rFonts w:ascii="仿宋" w:hAnsi="仿宋" w:cs="仿宋" w:hint="eastAsia"/>
              <w:sz w:val="28"/>
              <w:szCs w:val="28"/>
            </w:rPr>
          </w:pPr>
          <w:hyperlink w:anchor="_Toc25989" w:history="1">
            <w:r>
              <w:rPr>
                <w:rFonts w:ascii="仿宋" w:hAnsi="仿宋" w:cs="仿宋" w:hint="eastAsia"/>
                <w:sz w:val="28"/>
                <w:szCs w:val="28"/>
                <w:lang w:eastAsia="zh-CN"/>
              </w:rPr>
              <w:t>五、税务合规探索</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_Toc25989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20</w:t>
            </w:r>
            <w:r>
              <w:rPr>
                <w:rFonts w:ascii="仿宋" w:hAnsi="仿宋" w:cs="仿宋" w:hint="eastAsia"/>
                <w:sz w:val="28"/>
                <w:szCs w:val="28"/>
              </w:rPr>
              <w:fldChar w:fldCharType="end"/>
            </w:r>
          </w:hyperlink>
        </w:p>
        <w:p w14:paraId="61533E49"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23730" w:history="1">
            <w:r>
              <w:rPr>
                <w:rFonts w:ascii="仿宋" w:hAnsi="仿宋" w:cs="仿宋" w:hint="eastAsia"/>
                <w:sz w:val="28"/>
                <w:szCs w:val="28"/>
                <w:lang w:eastAsia="zh-CN"/>
              </w:rPr>
              <w:t>（一）合规也能“小而美”广东中小企业探索税务合规新路径</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_Toc23730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20</w:t>
            </w:r>
            <w:r>
              <w:rPr>
                <w:rFonts w:ascii="仿宋" w:hAnsi="仿宋" w:cs="仿宋" w:hint="eastAsia"/>
                <w:sz w:val="28"/>
                <w:szCs w:val="28"/>
              </w:rPr>
              <w:fldChar w:fldCharType="end"/>
            </w:r>
          </w:hyperlink>
        </w:p>
        <w:p w14:paraId="51896ACF" w14:textId="77777777" w:rsidR="00D937E9" w:rsidRDefault="00000000">
          <w:pPr>
            <w:pStyle w:val="TOC2"/>
            <w:tabs>
              <w:tab w:val="right" w:leader="middleDot" w:pos="9750"/>
            </w:tabs>
            <w:spacing w:line="480" w:lineRule="auto"/>
            <w:ind w:firstLine="560"/>
            <w:rPr>
              <w:rFonts w:ascii="仿宋" w:hAnsi="仿宋" w:cs="仿宋" w:hint="eastAsia"/>
              <w:sz w:val="28"/>
              <w:szCs w:val="28"/>
            </w:rPr>
          </w:pPr>
          <w:hyperlink w:anchor="_Toc8737" w:history="1">
            <w:r>
              <w:rPr>
                <w:rFonts w:ascii="仿宋" w:hAnsi="仿宋" w:cs="仿宋" w:hint="eastAsia"/>
                <w:sz w:val="28"/>
                <w:szCs w:val="28"/>
                <w:lang w:eastAsia="zh-CN"/>
              </w:rPr>
              <w:t>（二）天津生物医药行业企业以智税防风险 以合规促创新</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_Toc8737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25</w:t>
            </w:r>
            <w:r>
              <w:rPr>
                <w:rFonts w:ascii="仿宋" w:hAnsi="仿宋" w:cs="仿宋" w:hint="eastAsia"/>
                <w:sz w:val="28"/>
                <w:szCs w:val="28"/>
              </w:rPr>
              <w:fldChar w:fldCharType="end"/>
            </w:r>
          </w:hyperlink>
        </w:p>
        <w:p w14:paraId="1FD35D72" w14:textId="77777777" w:rsidR="00D937E9" w:rsidRDefault="00000000">
          <w:pPr>
            <w:pStyle w:val="TOC2"/>
            <w:tabs>
              <w:tab w:val="right" w:leader="middleDot" w:pos="9750"/>
            </w:tabs>
            <w:spacing w:line="480" w:lineRule="auto"/>
            <w:ind w:firstLine="560"/>
          </w:pPr>
          <w:hyperlink w:anchor="_Toc30559" w:history="1">
            <w:r>
              <w:rPr>
                <w:rFonts w:ascii="仿宋" w:hAnsi="仿宋" w:cs="仿宋" w:hint="eastAsia"/>
                <w:sz w:val="28"/>
                <w:szCs w:val="28"/>
                <w:lang w:eastAsia="zh-CN"/>
              </w:rPr>
              <w:t>（三）依法依规完成纳税身份转换大连税务发布小规模纳税人达标登记一般纳税人合规典型案例</w:t>
            </w:r>
            <w:r>
              <w:rPr>
                <w:rFonts w:ascii="仿宋" w:hAnsi="仿宋" w:cs="仿宋" w:hint="eastAsia"/>
                <w:sz w:val="28"/>
                <w:szCs w:val="28"/>
              </w:rPr>
              <w:tab/>
            </w:r>
            <w:r>
              <w:rPr>
                <w:rFonts w:ascii="仿宋" w:hAnsi="仿宋" w:cs="仿宋" w:hint="eastAsia"/>
                <w:sz w:val="28"/>
                <w:szCs w:val="28"/>
              </w:rPr>
              <w:fldChar w:fldCharType="begin"/>
            </w:r>
            <w:r>
              <w:rPr>
                <w:rFonts w:ascii="仿宋" w:hAnsi="仿宋" w:cs="仿宋" w:hint="eastAsia"/>
                <w:sz w:val="28"/>
                <w:szCs w:val="28"/>
              </w:rPr>
              <w:instrText xml:space="preserve"> PAGEREF _Toc30559 \h </w:instrText>
            </w:r>
            <w:r>
              <w:rPr>
                <w:rFonts w:ascii="仿宋" w:hAnsi="仿宋" w:cs="仿宋" w:hint="eastAsia"/>
                <w:sz w:val="28"/>
                <w:szCs w:val="28"/>
              </w:rPr>
            </w:r>
            <w:r>
              <w:rPr>
                <w:rFonts w:ascii="仿宋" w:hAnsi="仿宋" w:cs="仿宋" w:hint="eastAsia"/>
                <w:sz w:val="28"/>
                <w:szCs w:val="28"/>
              </w:rPr>
              <w:fldChar w:fldCharType="separate"/>
            </w:r>
            <w:r>
              <w:rPr>
                <w:rFonts w:ascii="仿宋" w:hAnsi="仿宋" w:cs="仿宋" w:hint="eastAsia"/>
                <w:sz w:val="28"/>
                <w:szCs w:val="28"/>
              </w:rPr>
              <w:t>29</w:t>
            </w:r>
            <w:r>
              <w:rPr>
                <w:rFonts w:ascii="仿宋" w:hAnsi="仿宋" w:cs="仿宋" w:hint="eastAsia"/>
                <w:sz w:val="28"/>
                <w:szCs w:val="28"/>
              </w:rPr>
              <w:fldChar w:fldCharType="end"/>
            </w:r>
          </w:hyperlink>
        </w:p>
        <w:p w14:paraId="0AB49484" w14:textId="77777777" w:rsidR="00D937E9" w:rsidRDefault="00000000">
          <w:pPr>
            <w:pStyle w:val="1"/>
            <w:spacing w:line="480" w:lineRule="auto"/>
            <w:ind w:firstLine="640"/>
            <w:rPr>
              <w:rFonts w:ascii="宋体" w:eastAsia="宋体" w:hAnsi="宋体" w:cs="宋体" w:hint="eastAsia"/>
              <w:sz w:val="24"/>
              <w:szCs w:val="24"/>
            </w:rPr>
          </w:pPr>
          <w:r>
            <w:rPr>
              <w:rFonts w:ascii="宋体" w:eastAsia="宋体" w:hAnsi="宋体" w:cs="宋体" w:hint="eastAsia"/>
              <w:szCs w:val="24"/>
            </w:rPr>
            <w:fldChar w:fldCharType="end"/>
          </w:r>
        </w:p>
      </w:sdtContent>
    </w:sdt>
    <w:p w14:paraId="4CB244F9" w14:textId="77777777" w:rsidR="00D937E9" w:rsidRDefault="00D937E9">
      <w:pPr>
        <w:spacing w:line="480" w:lineRule="auto"/>
        <w:ind w:firstLine="480"/>
        <w:rPr>
          <w:rFonts w:ascii="宋体" w:eastAsia="宋体" w:hAnsi="宋体" w:cs="宋体" w:hint="eastAsia"/>
          <w:sz w:val="24"/>
          <w:szCs w:val="24"/>
          <w:lang w:eastAsia="zh-CN"/>
        </w:rPr>
        <w:sectPr w:rsidR="00D937E9">
          <w:footerReference w:type="default" r:id="rId16"/>
          <w:pgSz w:w="11910" w:h="16840"/>
          <w:pgMar w:top="1440" w:right="1080" w:bottom="1440" w:left="1080" w:header="947" w:footer="970" w:gutter="0"/>
          <w:pgNumType w:start="1"/>
          <w:cols w:space="720"/>
        </w:sectPr>
      </w:pPr>
    </w:p>
    <w:p w14:paraId="6E0CE70F" w14:textId="77777777" w:rsidR="00D937E9" w:rsidRDefault="00000000">
      <w:pPr>
        <w:pStyle w:val="1"/>
        <w:numPr>
          <w:ilvl w:val="0"/>
          <w:numId w:val="1"/>
        </w:numPr>
        <w:ind w:firstLine="640"/>
        <w:rPr>
          <w:rFonts w:hint="eastAsia"/>
        </w:rPr>
      </w:pPr>
      <w:bookmarkStart w:id="5" w:name="_Toc24477"/>
      <w:r>
        <w:rPr>
          <w:rFonts w:hint="eastAsia"/>
        </w:rPr>
        <w:lastRenderedPageBreak/>
        <w:t>编写律师简介</w:t>
      </w:r>
      <w:bookmarkEnd w:id="4"/>
      <w:bookmarkEnd w:id="3"/>
      <w:bookmarkEnd w:id="2"/>
      <w:bookmarkEnd w:id="5"/>
    </w:p>
    <w:p w14:paraId="00092C28" w14:textId="77777777" w:rsidR="00D937E9" w:rsidRDefault="00D937E9">
      <w:pPr>
        <w:pStyle w:val="aa"/>
        <w:spacing w:before="210" w:beforeAutospacing="0" w:after="210" w:afterAutospacing="0" w:line="473" w:lineRule="atLeast"/>
        <w:ind w:firstLine="400"/>
        <w:jc w:val="center"/>
        <w:rPr>
          <w:rFonts w:ascii="微软雅黑" w:eastAsia="微软雅黑" w:hAnsi="微软雅黑" w:cs="微软雅黑" w:hint="eastAsia"/>
          <w:sz w:val="20"/>
          <w:szCs w:val="20"/>
        </w:rPr>
      </w:pPr>
    </w:p>
    <w:p w14:paraId="7AEF97D3" w14:textId="77777777" w:rsidR="00D937E9" w:rsidRDefault="00000000">
      <w:pPr>
        <w:pStyle w:val="aa"/>
        <w:spacing w:before="210" w:beforeAutospacing="0" w:after="210" w:afterAutospacing="0" w:line="473" w:lineRule="atLeast"/>
        <w:ind w:firstLine="400"/>
        <w:jc w:val="center"/>
      </w:pPr>
      <w:r>
        <w:rPr>
          <w:rFonts w:ascii="微软雅黑" w:eastAsia="微软雅黑" w:hAnsi="微软雅黑" w:cs="微软雅黑" w:hint="eastAsia"/>
          <w:noProof/>
          <w:sz w:val="20"/>
          <w:szCs w:val="20"/>
        </w:rPr>
        <w:drawing>
          <wp:inline distT="0" distB="0" distL="114300" distR="114300" wp14:anchorId="3DCE36ED" wp14:editId="2B1DF857">
            <wp:extent cx="1332230" cy="1630680"/>
            <wp:effectExtent l="0" t="0" r="1270" b="7620"/>
            <wp:docPr id="1" name="图片 1" descr="C:/Users/杨好丽/Desktop/律所文书模板/杨好丽证件照.jpg杨好丽证件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杨好丽/Desktop/律所文书模板/杨好丽证件照.jpg杨好丽证件照"/>
                    <pic:cNvPicPr>
                      <a:picLocks noChangeAspect="1"/>
                    </pic:cNvPicPr>
                  </pic:nvPicPr>
                  <pic:blipFill>
                    <a:blip r:embed="rId17"/>
                    <a:srcRect t="9581" b="9581"/>
                    <a:stretch>
                      <a:fillRect/>
                    </a:stretch>
                  </pic:blipFill>
                  <pic:spPr>
                    <a:xfrm>
                      <a:off x="0" y="0"/>
                      <a:ext cx="1332230" cy="1630680"/>
                    </a:xfrm>
                    <a:prstGeom prst="rect">
                      <a:avLst/>
                    </a:prstGeom>
                  </pic:spPr>
                </pic:pic>
              </a:graphicData>
            </a:graphic>
          </wp:inline>
        </w:drawing>
      </w:r>
    </w:p>
    <w:p w14:paraId="54A07AAE" w14:textId="77777777" w:rsidR="00D937E9" w:rsidRDefault="00000000">
      <w:pPr>
        <w:spacing w:beforeLines="100" w:before="240" w:afterLines="100" w:after="240"/>
        <w:ind w:firstLineChars="0" w:firstLine="0"/>
        <w:jc w:val="center"/>
        <w:rPr>
          <w:rFonts w:ascii="仿宋" w:hAnsi="仿宋" w:cs="仿宋" w:hint="eastAsia"/>
          <w:color w:val="000000"/>
          <w:szCs w:val="28"/>
          <w:lang w:eastAsia="zh-CN"/>
        </w:rPr>
      </w:pPr>
      <w:r>
        <w:rPr>
          <w:rFonts w:ascii="仿宋" w:hAnsi="仿宋" w:cs="仿宋" w:hint="eastAsia"/>
          <w:color w:val="000000"/>
          <w:szCs w:val="28"/>
          <w:lang w:eastAsia="zh-CN"/>
        </w:rPr>
        <w:t>杨好丽  律 师</w:t>
      </w:r>
    </w:p>
    <w:p w14:paraId="2B8F4499" w14:textId="77777777" w:rsidR="00D937E9" w:rsidRDefault="00000000">
      <w:pPr>
        <w:widowControl w:val="0"/>
        <w:snapToGrid w:val="0"/>
        <w:spacing w:beforeLines="100" w:before="240" w:afterLines="100" w:after="240"/>
        <w:ind w:firstLine="560"/>
        <w:contextualSpacing/>
        <w:rPr>
          <w:rFonts w:ascii="仿宋" w:hAnsi="仿宋" w:cs="仿宋" w:hint="eastAsia"/>
          <w:color w:val="000000"/>
          <w:szCs w:val="28"/>
          <w:lang w:eastAsia="zh-CN"/>
        </w:rPr>
      </w:pPr>
      <w:r>
        <w:rPr>
          <w:rFonts w:ascii="仿宋" w:hAnsi="仿宋" w:cs="仿宋" w:hint="eastAsia"/>
          <w:color w:val="000000"/>
          <w:szCs w:val="28"/>
          <w:lang w:eastAsia="zh-CN"/>
        </w:rPr>
        <w:t>北京观韬（郑州）律师事务所律师，现任河南省律师协会税收法律专业委员会委员、郑州市律师协会国有资产管理专业委员会执行委员。</w:t>
      </w:r>
    </w:p>
    <w:p w14:paraId="32475DD3" w14:textId="77777777" w:rsidR="00D937E9" w:rsidRDefault="00D937E9">
      <w:pPr>
        <w:spacing w:beforeLines="100" w:before="240" w:afterLines="100" w:after="240"/>
        <w:ind w:firstLine="560"/>
        <w:rPr>
          <w:rFonts w:ascii="仿宋" w:hAnsi="仿宋" w:cs="仿宋" w:hint="eastAsia"/>
          <w:color w:val="000000"/>
          <w:szCs w:val="28"/>
          <w:lang w:eastAsia="zh-CN"/>
        </w:rPr>
      </w:pPr>
    </w:p>
    <w:p w14:paraId="76E742FD" w14:textId="77777777" w:rsidR="00D937E9" w:rsidRDefault="00D937E9">
      <w:pPr>
        <w:spacing w:beforeLines="100" w:before="240" w:afterLines="100" w:after="240"/>
        <w:ind w:firstLine="560"/>
        <w:rPr>
          <w:rFonts w:ascii="仿宋" w:hAnsi="仿宋" w:cs="仿宋" w:hint="eastAsia"/>
          <w:color w:val="000000"/>
          <w:szCs w:val="28"/>
          <w:lang w:eastAsia="zh-CN"/>
        </w:rPr>
      </w:pPr>
    </w:p>
    <w:p w14:paraId="2101CDDC" w14:textId="77777777" w:rsidR="00D937E9" w:rsidRDefault="00000000">
      <w:pPr>
        <w:spacing w:line="480" w:lineRule="exact"/>
        <w:ind w:firstLine="560"/>
        <w:rPr>
          <w:rFonts w:ascii="仿宋" w:hAnsi="仿宋" w:hint="eastAsia"/>
          <w:szCs w:val="28"/>
          <w:lang w:eastAsia="zh-CN"/>
        </w:rPr>
      </w:pPr>
      <w:r>
        <w:rPr>
          <w:lang w:eastAsia="zh-CN"/>
        </w:rPr>
        <w:br w:type="page"/>
      </w:r>
    </w:p>
    <w:p w14:paraId="5D4344C4" w14:textId="77777777" w:rsidR="00D937E9" w:rsidRDefault="00000000">
      <w:pPr>
        <w:pStyle w:val="1"/>
        <w:numPr>
          <w:ilvl w:val="0"/>
          <w:numId w:val="2"/>
        </w:numPr>
        <w:ind w:firstLine="640"/>
        <w:rPr>
          <w:rFonts w:hint="eastAsia"/>
        </w:rPr>
      </w:pPr>
      <w:bookmarkStart w:id="6" w:name="二、要闻播报"/>
      <w:bookmarkStart w:id="7" w:name="_Toc29903"/>
      <w:bookmarkStart w:id="8" w:name="_Toc9223"/>
      <w:bookmarkStart w:id="9" w:name="_Toc32371"/>
      <w:bookmarkStart w:id="10" w:name="_Toc9496"/>
      <w:bookmarkStart w:id="11" w:name="_Toc8368"/>
      <w:bookmarkStart w:id="12" w:name="_Toc24349"/>
      <w:bookmarkStart w:id="13" w:name="_Toc16410"/>
      <w:bookmarkEnd w:id="6"/>
      <w:r>
        <w:rPr>
          <w:rFonts w:hint="eastAsia"/>
        </w:rPr>
        <w:lastRenderedPageBreak/>
        <w:t>要闻播报</w:t>
      </w:r>
      <w:bookmarkEnd w:id="7"/>
      <w:bookmarkEnd w:id="8"/>
      <w:bookmarkEnd w:id="9"/>
      <w:bookmarkEnd w:id="10"/>
      <w:bookmarkEnd w:id="11"/>
      <w:bookmarkEnd w:id="12"/>
      <w:bookmarkEnd w:id="13"/>
    </w:p>
    <w:p w14:paraId="78B1F6DB" w14:textId="77777777" w:rsidR="00D937E9" w:rsidRDefault="00000000">
      <w:pPr>
        <w:pStyle w:val="2"/>
        <w:spacing w:before="140" w:after="140" w:line="360" w:lineRule="auto"/>
        <w:ind w:firstLine="600"/>
        <w:rPr>
          <w:lang w:eastAsia="zh-CN"/>
        </w:rPr>
      </w:pPr>
      <w:bookmarkStart w:id="14" w:name="_Toc23705"/>
      <w:r>
        <w:rPr>
          <w:rFonts w:hint="eastAsia"/>
          <w:lang w:eastAsia="zh-CN"/>
        </w:rPr>
        <w:t>（一）国新办“开局起步‘十五五’”新闻发布会　财政部明确税制公平、补贴规范三大方向</w:t>
      </w:r>
      <w:bookmarkEnd w:id="14"/>
      <w:r>
        <w:rPr>
          <w:rFonts w:hint="eastAsia"/>
          <w:lang w:eastAsia="zh-CN"/>
        </w:rPr>
        <w:t>。</w:t>
      </w:r>
    </w:p>
    <w:p w14:paraId="5E581FBA" w14:textId="77777777" w:rsidR="00D937E9" w:rsidRDefault="00000000">
      <w:pPr>
        <w:spacing w:line="360" w:lineRule="auto"/>
        <w:ind w:firstLine="560"/>
        <w:rPr>
          <w:lang w:eastAsia="zh-CN"/>
        </w:rPr>
      </w:pPr>
      <w:r>
        <w:rPr>
          <w:rFonts w:hint="eastAsia"/>
          <w:lang w:eastAsia="zh-CN"/>
        </w:rPr>
        <w:t>2026</w:t>
      </w:r>
      <w:r>
        <w:rPr>
          <w:rFonts w:hint="eastAsia"/>
          <w:lang w:eastAsia="zh-CN"/>
        </w:rPr>
        <w:t>年</w:t>
      </w:r>
      <w:r>
        <w:rPr>
          <w:rFonts w:hint="eastAsia"/>
          <w:lang w:eastAsia="zh-CN"/>
        </w:rPr>
        <w:t>8</w:t>
      </w:r>
      <w:r>
        <w:rPr>
          <w:rFonts w:hint="eastAsia"/>
          <w:lang w:eastAsia="zh-CN"/>
        </w:rPr>
        <w:t>月</w:t>
      </w:r>
      <w:r>
        <w:rPr>
          <w:rFonts w:hint="eastAsia"/>
          <w:lang w:eastAsia="zh-CN"/>
        </w:rPr>
        <w:t>21</w:t>
      </w:r>
      <w:r>
        <w:rPr>
          <w:rFonts w:hint="eastAsia"/>
          <w:lang w:eastAsia="zh-CN"/>
        </w:rPr>
        <w:t>日，国务院新闻办公室举行“开局起步‘十五五’”系列主题新闻发布会。财政部副部长廖岷介绍了三方面重点：一是促进税制公平，系统梳理税收优惠政策，扭转政策“碎片化”倾向，坚决不搞税收政策“洼地”，严肃处理地方违规税费优惠、返税引税问题；二是规范财政补贴，建立全国统一的地方财政补贴负面清单管理机制，依托预算管理一体化系统精准监测违规补贴；三是优化政府采购。上述政策导向表明，依靠地方性税收返还、财政奖励进行招商引资的模式将进一步收紧，企业在评估地方招商承诺的稳定性时需更加审慎。</w:t>
      </w:r>
    </w:p>
    <w:p w14:paraId="75C5F942" w14:textId="77777777" w:rsidR="00D937E9" w:rsidRDefault="00000000">
      <w:pPr>
        <w:spacing w:line="560" w:lineRule="exact"/>
        <w:ind w:firstLineChars="0" w:firstLine="0"/>
        <w:jc w:val="right"/>
        <w:rPr>
          <w:rFonts w:ascii="仿宋" w:hAnsi="仿宋" w:cs="仿宋" w:hint="eastAsia"/>
          <w:szCs w:val="28"/>
          <w:lang w:eastAsia="zh-CN"/>
        </w:rPr>
      </w:pPr>
      <w:r>
        <w:rPr>
          <w:rFonts w:ascii="仿宋" w:hAnsi="仿宋" w:cs="仿宋" w:hint="eastAsia"/>
          <w:szCs w:val="28"/>
          <w:lang w:eastAsia="zh-CN"/>
        </w:rPr>
        <w:t>信息来源：国务院新闻办公室　新华网</w:t>
      </w:r>
    </w:p>
    <w:p w14:paraId="46F85F3F" w14:textId="77777777" w:rsidR="00D937E9" w:rsidRDefault="00000000">
      <w:pPr>
        <w:spacing w:line="560" w:lineRule="exact"/>
        <w:ind w:firstLineChars="0" w:firstLine="0"/>
        <w:jc w:val="right"/>
        <w:rPr>
          <w:rFonts w:ascii="仿宋" w:hAnsi="仿宋" w:cs="仿宋" w:hint="eastAsia"/>
          <w:szCs w:val="28"/>
        </w:rPr>
      </w:pPr>
      <w:r>
        <w:rPr>
          <w:rFonts w:ascii="仿宋" w:hAnsi="仿宋" w:cs="仿宋" w:hint="eastAsia"/>
          <w:szCs w:val="28"/>
        </w:rPr>
        <w:t>时间：2026年8月21日</w:t>
      </w:r>
    </w:p>
    <w:p w14:paraId="416AE0E8" w14:textId="77777777" w:rsidR="00D937E9" w:rsidRDefault="00000000">
      <w:pPr>
        <w:ind w:firstLine="560"/>
        <w:rPr>
          <w:rFonts w:ascii="Times New Roman" w:eastAsia="楷体" w:hAnsi="Times New Roman"/>
          <w:sz w:val="32"/>
        </w:rPr>
      </w:pPr>
      <w:bookmarkStart w:id="15" w:name="_Toc1887"/>
      <w:proofErr w:type="spellStart"/>
      <w:r>
        <w:rPr>
          <w:rFonts w:hint="eastAsia"/>
        </w:rPr>
        <w:t>链接：</w:t>
      </w:r>
      <w:r>
        <w:rPr>
          <w:rFonts w:hint="eastAsia"/>
        </w:rPr>
        <w:t>http</w:t>
      </w:r>
      <w:proofErr w:type="spellEnd"/>
      <w:r>
        <w:rPr>
          <w:rFonts w:hint="eastAsia"/>
        </w:rPr>
        <w:t>://www.scio.gov.cn/live/2026/39207/index.html</w:t>
      </w:r>
      <w:bookmarkEnd w:id="15"/>
    </w:p>
    <w:p w14:paraId="3C430923" w14:textId="77777777" w:rsidR="00D937E9" w:rsidRDefault="00000000">
      <w:pPr>
        <w:pStyle w:val="2"/>
        <w:spacing w:before="140" w:after="140" w:line="360" w:lineRule="auto"/>
        <w:ind w:firstLine="600"/>
        <w:rPr>
          <w:lang w:eastAsia="zh-CN"/>
        </w:rPr>
      </w:pPr>
      <w:bookmarkStart w:id="16" w:name="_Toc6089"/>
      <w:r>
        <w:rPr>
          <w:rFonts w:hint="eastAsia"/>
          <w:lang w:eastAsia="zh-CN"/>
        </w:rPr>
        <w:t>（二）税务部门连续第</w:t>
      </w:r>
      <w:r>
        <w:rPr>
          <w:rFonts w:hint="eastAsia"/>
          <w:lang w:eastAsia="zh-CN"/>
        </w:rPr>
        <w:t>13</w:t>
      </w:r>
      <w:r>
        <w:rPr>
          <w:rFonts w:hint="eastAsia"/>
          <w:lang w:eastAsia="zh-CN"/>
        </w:rPr>
        <w:t>年开展“便民办税春风行动”</w:t>
      </w:r>
      <w:r>
        <w:rPr>
          <w:rFonts w:hint="eastAsia"/>
          <w:lang w:eastAsia="zh-CN"/>
        </w:rPr>
        <w:t>16</w:t>
      </w:r>
      <w:r>
        <w:rPr>
          <w:rFonts w:hint="eastAsia"/>
          <w:lang w:eastAsia="zh-CN"/>
        </w:rPr>
        <w:t>条便民利企服务举措落地解决办税缴费难题</w:t>
      </w:r>
      <w:bookmarkEnd w:id="16"/>
      <w:r>
        <w:rPr>
          <w:rFonts w:hint="eastAsia"/>
          <w:lang w:eastAsia="zh-CN"/>
        </w:rPr>
        <w:t>。</w:t>
      </w:r>
    </w:p>
    <w:p w14:paraId="72C249EB" w14:textId="77777777" w:rsidR="00D937E9" w:rsidRDefault="00000000">
      <w:pPr>
        <w:spacing w:line="360" w:lineRule="auto"/>
        <w:ind w:firstLine="560"/>
        <w:rPr>
          <w:lang w:eastAsia="zh-CN"/>
        </w:rPr>
      </w:pPr>
      <w:r>
        <w:rPr>
          <w:rFonts w:hint="eastAsia"/>
          <w:lang w:eastAsia="zh-CN"/>
        </w:rPr>
        <w:t>今年</w:t>
      </w:r>
      <w:r>
        <w:rPr>
          <w:rFonts w:hint="eastAsia"/>
          <w:lang w:eastAsia="zh-CN"/>
        </w:rPr>
        <w:t>4</w:t>
      </w:r>
      <w:r>
        <w:rPr>
          <w:rFonts w:hint="eastAsia"/>
          <w:lang w:eastAsia="zh-CN"/>
        </w:rPr>
        <w:t>月，国家税务总局以开展树立和践行正确政绩观学习教育为契机，印发《关于开展</w:t>
      </w:r>
      <w:r>
        <w:rPr>
          <w:rFonts w:hint="eastAsia"/>
          <w:lang w:eastAsia="zh-CN"/>
        </w:rPr>
        <w:t>2026</w:t>
      </w:r>
      <w:r>
        <w:rPr>
          <w:rFonts w:hint="eastAsia"/>
          <w:lang w:eastAsia="zh-CN"/>
        </w:rPr>
        <w:t>年“便民办税春风行动”的意见》（以下简称《意见》），明确以“奋进十五五·实干惠民生”为主题，集成推出一批便民利企服务举措，切实把党中央决策部署转化为发展实效、民生福祉。截至目前，智能办税、信用修复等</w:t>
      </w:r>
      <w:r>
        <w:rPr>
          <w:rFonts w:hint="eastAsia"/>
          <w:lang w:eastAsia="zh-CN"/>
        </w:rPr>
        <w:t>16</w:t>
      </w:r>
      <w:r>
        <w:rPr>
          <w:rFonts w:hint="eastAsia"/>
          <w:lang w:eastAsia="zh-CN"/>
        </w:rPr>
        <w:t>条措施任务已落地，为广大企业和群众办税缴费带来更多便利、更新体验。</w:t>
      </w:r>
    </w:p>
    <w:p w14:paraId="229AC425" w14:textId="77777777" w:rsidR="00D937E9" w:rsidRDefault="00000000">
      <w:pPr>
        <w:spacing w:line="360" w:lineRule="auto"/>
        <w:ind w:firstLine="560"/>
        <w:rPr>
          <w:lang w:eastAsia="zh-CN"/>
        </w:rPr>
      </w:pPr>
      <w:r>
        <w:rPr>
          <w:rFonts w:hint="eastAsia"/>
          <w:lang w:eastAsia="zh-CN"/>
        </w:rPr>
        <w:t>数字赋能进一步深化，办税缴费流程更简便。</w:t>
      </w:r>
    </w:p>
    <w:p w14:paraId="26637804" w14:textId="77777777" w:rsidR="00D937E9" w:rsidRDefault="00000000">
      <w:pPr>
        <w:spacing w:line="360" w:lineRule="auto"/>
        <w:ind w:firstLine="560"/>
        <w:rPr>
          <w:lang w:eastAsia="zh-CN"/>
        </w:rPr>
      </w:pPr>
      <w:r>
        <w:rPr>
          <w:rFonts w:hint="eastAsia"/>
          <w:lang w:eastAsia="zh-CN"/>
        </w:rPr>
        <w:lastRenderedPageBreak/>
        <w:t>《意见》中，“升级智能申报”“创新数字体验”是今年“便民办税春风行动”排在前列的两项举措。几个月来，纸面上的文字正在转化为现实中一个个便捷可感的真切体验。</w:t>
      </w:r>
    </w:p>
    <w:p w14:paraId="50FFEA40" w14:textId="77777777" w:rsidR="00D937E9" w:rsidRDefault="00000000">
      <w:pPr>
        <w:spacing w:line="360" w:lineRule="auto"/>
        <w:ind w:firstLine="560"/>
        <w:rPr>
          <w:lang w:eastAsia="zh-CN"/>
        </w:rPr>
      </w:pPr>
      <w:r>
        <w:rPr>
          <w:rFonts w:hint="eastAsia"/>
          <w:lang w:eastAsia="zh-CN"/>
        </w:rPr>
        <w:t>深圳市南山区税务局以</w:t>
      </w:r>
      <w:r>
        <w:rPr>
          <w:rFonts w:hint="eastAsia"/>
          <w:lang w:eastAsia="zh-CN"/>
        </w:rPr>
        <w:t>AI</w:t>
      </w:r>
      <w:r>
        <w:rPr>
          <w:rFonts w:hint="eastAsia"/>
          <w:lang w:eastAsia="zh-CN"/>
        </w:rPr>
        <w:t>大模型为依托，在电子税务局征纳互动模块推出场景式、问答式辅助引导智能助手，在征纳互动中为纳税人缴费人智能推荐解决方案。该智能助手投入应用以来，南山区税务局征纳互动接通率大幅提升，纳税人缴费人平均等待时长缩短至</w:t>
      </w:r>
      <w:r>
        <w:rPr>
          <w:rFonts w:hint="eastAsia"/>
          <w:lang w:eastAsia="zh-CN"/>
        </w:rPr>
        <w:t>2</w:t>
      </w:r>
      <w:r>
        <w:rPr>
          <w:rFonts w:hint="eastAsia"/>
          <w:lang w:eastAsia="zh-CN"/>
        </w:rPr>
        <w:t>分钟，咨询问题解决率提升至</w:t>
      </w:r>
      <w:r>
        <w:rPr>
          <w:rFonts w:hint="eastAsia"/>
          <w:lang w:eastAsia="zh-CN"/>
        </w:rPr>
        <w:t>89%</w:t>
      </w:r>
      <w:r>
        <w:rPr>
          <w:rFonts w:hint="eastAsia"/>
          <w:lang w:eastAsia="zh-CN"/>
        </w:rPr>
        <w:t>。</w:t>
      </w:r>
    </w:p>
    <w:p w14:paraId="04CA66F4" w14:textId="77777777" w:rsidR="00D937E9" w:rsidRDefault="00000000">
      <w:pPr>
        <w:spacing w:line="360" w:lineRule="auto"/>
        <w:ind w:firstLine="560"/>
        <w:rPr>
          <w:lang w:eastAsia="zh-CN"/>
        </w:rPr>
      </w:pPr>
      <w:r>
        <w:rPr>
          <w:rFonts w:hint="eastAsia"/>
          <w:lang w:eastAsia="zh-CN"/>
        </w:rPr>
        <w:t>肇庆市税务局创新数字体验，率先在自然人电子税务局网页客户端和手机客户端全线接入征纳互动，建成</w:t>
      </w:r>
      <w:r>
        <w:rPr>
          <w:rFonts w:hint="eastAsia"/>
          <w:lang w:eastAsia="zh-CN"/>
        </w:rPr>
        <w:t>7</w:t>
      </w:r>
      <w:r>
        <w:rPr>
          <w:rFonts w:hint="eastAsia"/>
          <w:lang w:eastAsia="zh-CN"/>
        </w:rPr>
        <w:t>×</w:t>
      </w:r>
      <w:r>
        <w:rPr>
          <w:rFonts w:hint="eastAsia"/>
          <w:lang w:eastAsia="zh-CN"/>
        </w:rPr>
        <w:t>24</w:t>
      </w:r>
      <w:r>
        <w:rPr>
          <w:rFonts w:hint="eastAsia"/>
          <w:lang w:eastAsia="zh-CN"/>
        </w:rPr>
        <w:t>小时“智能＋人工”双线服务体系。纳税人缴费人登录个税</w:t>
      </w:r>
      <w:r>
        <w:rPr>
          <w:rFonts w:hint="eastAsia"/>
          <w:lang w:eastAsia="zh-CN"/>
        </w:rPr>
        <w:t>App</w:t>
      </w:r>
      <w:r>
        <w:rPr>
          <w:rFonts w:hint="eastAsia"/>
          <w:lang w:eastAsia="zh-CN"/>
        </w:rPr>
        <w:t>后，通过点击智能机器人形象“悦悦”即可与其开展互动，“悦悦”对基础性的税收疑难问题可实现即时响应，针对汇算退税、专项附加扣除等复杂业务，支持转人工坐席，以图文传输、音视频、远程协助等方式开展辅导。截至今年</w:t>
      </w:r>
      <w:r>
        <w:rPr>
          <w:rFonts w:hint="eastAsia"/>
          <w:lang w:eastAsia="zh-CN"/>
        </w:rPr>
        <w:t>7</w:t>
      </w:r>
      <w:r>
        <w:rPr>
          <w:rFonts w:hint="eastAsia"/>
          <w:lang w:eastAsia="zh-CN"/>
        </w:rPr>
        <w:t>月初，该局征纳互动中的智能互动占比超</w:t>
      </w:r>
      <w:r>
        <w:rPr>
          <w:rFonts w:hint="eastAsia"/>
          <w:lang w:eastAsia="zh-CN"/>
        </w:rPr>
        <w:t>92%</w:t>
      </w:r>
      <w:r>
        <w:rPr>
          <w:rFonts w:hint="eastAsia"/>
          <w:lang w:eastAsia="zh-CN"/>
        </w:rPr>
        <w:t>，有效提升了纳税人缴费人的咨询体验。</w:t>
      </w:r>
    </w:p>
    <w:p w14:paraId="63DC5FFA" w14:textId="77777777" w:rsidR="00D937E9" w:rsidRDefault="00000000">
      <w:pPr>
        <w:spacing w:line="360" w:lineRule="auto"/>
        <w:ind w:firstLine="560"/>
        <w:rPr>
          <w:lang w:eastAsia="zh-CN"/>
        </w:rPr>
      </w:pPr>
      <w:r>
        <w:rPr>
          <w:rFonts w:hint="eastAsia"/>
          <w:lang w:eastAsia="zh-CN"/>
        </w:rPr>
        <w:t>完成电子税务局及移动端</w:t>
      </w:r>
      <w:r>
        <w:rPr>
          <w:rFonts w:hint="eastAsia"/>
          <w:lang w:eastAsia="zh-CN"/>
        </w:rPr>
        <w:t>App</w:t>
      </w:r>
      <w:r>
        <w:rPr>
          <w:rFonts w:hint="eastAsia"/>
          <w:lang w:eastAsia="zh-CN"/>
        </w:rPr>
        <w:t>迭代升级，拓展个税</w:t>
      </w:r>
      <w:r>
        <w:rPr>
          <w:rFonts w:hint="eastAsia"/>
          <w:lang w:eastAsia="zh-CN"/>
        </w:rPr>
        <w:t>App</w:t>
      </w:r>
      <w:r>
        <w:rPr>
          <w:rFonts w:hint="eastAsia"/>
          <w:lang w:eastAsia="zh-CN"/>
        </w:rPr>
        <w:t>预填功能覆盖范围，落实增值税新政优化纳税申报表……几个月来，伴随着一系列数字化升级改造，办税缴费的流程愈发精简流畅。</w:t>
      </w:r>
    </w:p>
    <w:p w14:paraId="185AE2A6" w14:textId="77777777" w:rsidR="00D937E9" w:rsidRDefault="00000000">
      <w:pPr>
        <w:spacing w:line="360" w:lineRule="auto"/>
        <w:ind w:firstLine="560"/>
        <w:rPr>
          <w:lang w:eastAsia="zh-CN"/>
        </w:rPr>
      </w:pPr>
      <w:r>
        <w:rPr>
          <w:rFonts w:hint="eastAsia"/>
          <w:lang w:eastAsia="zh-CN"/>
        </w:rPr>
        <w:t>精细服务进一步优化，经营主体“一个都不落下”</w:t>
      </w:r>
    </w:p>
    <w:p w14:paraId="71B5B233" w14:textId="77777777" w:rsidR="00D937E9" w:rsidRDefault="00000000">
      <w:pPr>
        <w:spacing w:line="360" w:lineRule="auto"/>
        <w:ind w:firstLine="560"/>
        <w:rPr>
          <w:lang w:eastAsia="zh-CN"/>
        </w:rPr>
      </w:pPr>
      <w:r>
        <w:rPr>
          <w:rFonts w:hint="eastAsia"/>
          <w:lang w:eastAsia="zh-CN"/>
        </w:rPr>
        <w:t>今年“便民办税春风行动”要求“优化精细服务”。各地税务部门区分特殊群体、重点项目、新业态，把服务做实做细，确保“一个都不落下”。</w:t>
      </w:r>
    </w:p>
    <w:p w14:paraId="62823BB2" w14:textId="77777777" w:rsidR="00D937E9" w:rsidRDefault="00000000">
      <w:pPr>
        <w:spacing w:line="360" w:lineRule="auto"/>
        <w:ind w:firstLine="560"/>
        <w:rPr>
          <w:lang w:eastAsia="zh-CN"/>
        </w:rPr>
      </w:pPr>
      <w:r>
        <w:rPr>
          <w:rFonts w:hint="eastAsia"/>
          <w:lang w:eastAsia="zh-CN"/>
        </w:rPr>
        <w:t>青海德令哈市不少电站地处戈壁偏远地带，企业办税路程远。德令哈市税务局主动对接发改、能源部门获取项目清单，在项目立项阶段便上门帮助相关企业完成税务登记，开展前置辅导；在项目建设期紧盯大</w:t>
      </w:r>
      <w:r>
        <w:rPr>
          <w:rFonts w:hint="eastAsia"/>
          <w:lang w:eastAsia="zh-CN"/>
        </w:rPr>
        <w:lastRenderedPageBreak/>
        <w:t>额设备发票管理，开设</w:t>
      </w:r>
      <w:r>
        <w:rPr>
          <w:rFonts w:hint="eastAsia"/>
          <w:lang w:eastAsia="zh-CN"/>
        </w:rPr>
        <w:t>24</w:t>
      </w:r>
      <w:r>
        <w:rPr>
          <w:rFonts w:hint="eastAsia"/>
          <w:lang w:eastAsia="zh-CN"/>
        </w:rPr>
        <w:t>小时涉税争议快速响应通道；在项目运营期指导企业规范核算税收收入，保障</w:t>
      </w:r>
      <w:r>
        <w:rPr>
          <w:rFonts w:hint="eastAsia"/>
          <w:lang w:eastAsia="zh-CN"/>
        </w:rPr>
        <w:t>12</w:t>
      </w:r>
      <w:r>
        <w:rPr>
          <w:rFonts w:hint="eastAsia"/>
          <w:lang w:eastAsia="zh-CN"/>
        </w:rPr>
        <w:t>个重点项目按期并网。</w:t>
      </w:r>
    </w:p>
    <w:p w14:paraId="39390E88" w14:textId="77777777" w:rsidR="00D937E9" w:rsidRDefault="00000000">
      <w:pPr>
        <w:spacing w:line="360" w:lineRule="auto"/>
        <w:ind w:firstLine="560"/>
        <w:rPr>
          <w:lang w:eastAsia="zh-CN"/>
        </w:rPr>
      </w:pPr>
      <w:r>
        <w:rPr>
          <w:rFonts w:hint="eastAsia"/>
          <w:lang w:eastAsia="zh-CN"/>
        </w:rPr>
        <w:t>新的税收政策实施后，配套涉税服务同步跟上。海南离岛免税政策实施后，万宁王府井国际免税港的财务人员对新增品类核算标准把握不准。万宁市税务局与企业建立一对一帮扶通道，通过视频连线、云端答疑、推送数字化政策手册等方式开展精细辅导，帮助企业掌握新政、合规享受免税待遇。海南自贸港双语办税服务实现全域覆盖，上半年服务新设外资企业</w:t>
      </w:r>
      <w:r>
        <w:rPr>
          <w:rFonts w:hint="eastAsia"/>
          <w:lang w:eastAsia="zh-CN"/>
        </w:rPr>
        <w:t>2300</w:t>
      </w:r>
      <w:r>
        <w:rPr>
          <w:rFonts w:hint="eastAsia"/>
          <w:lang w:eastAsia="zh-CN"/>
        </w:rPr>
        <w:t>余户、办理外籍人士涉税业务</w:t>
      </w:r>
      <w:r>
        <w:rPr>
          <w:rFonts w:hint="eastAsia"/>
          <w:lang w:eastAsia="zh-CN"/>
        </w:rPr>
        <w:t>3.27</w:t>
      </w:r>
      <w:r>
        <w:rPr>
          <w:rFonts w:hint="eastAsia"/>
          <w:lang w:eastAsia="zh-CN"/>
        </w:rPr>
        <w:t>万笔。</w:t>
      </w:r>
    </w:p>
    <w:p w14:paraId="5CEF3C57" w14:textId="77777777" w:rsidR="00D937E9" w:rsidRDefault="00000000">
      <w:pPr>
        <w:spacing w:line="360" w:lineRule="auto"/>
        <w:ind w:firstLine="560"/>
        <w:rPr>
          <w:lang w:eastAsia="zh-CN"/>
        </w:rPr>
      </w:pPr>
      <w:r>
        <w:rPr>
          <w:rFonts w:hint="eastAsia"/>
          <w:lang w:eastAsia="zh-CN"/>
        </w:rPr>
        <w:t>今年</w:t>
      </w:r>
      <w:r>
        <w:rPr>
          <w:rFonts w:hint="eastAsia"/>
          <w:lang w:eastAsia="zh-CN"/>
        </w:rPr>
        <w:t>5</w:t>
      </w:r>
      <w:r>
        <w:rPr>
          <w:rFonts w:hint="eastAsia"/>
          <w:lang w:eastAsia="zh-CN"/>
        </w:rPr>
        <w:t>月，商务部会同财政部、税务总局等部门联合发布《关于加力优化离境退税措施扩大入境消费的通知》，推出无纸化办理等</w:t>
      </w:r>
      <w:r>
        <w:rPr>
          <w:rFonts w:hint="eastAsia"/>
          <w:lang w:eastAsia="zh-CN"/>
        </w:rPr>
        <w:t>8</w:t>
      </w:r>
      <w:r>
        <w:rPr>
          <w:rFonts w:hint="eastAsia"/>
          <w:lang w:eastAsia="zh-CN"/>
        </w:rPr>
        <w:t>项离境退税服务举措，便利境外旅客购物退税，目前，全国离境退税商店数量已达</w:t>
      </w:r>
      <w:r>
        <w:rPr>
          <w:rFonts w:hint="eastAsia"/>
          <w:lang w:eastAsia="zh-CN"/>
        </w:rPr>
        <w:t>1.6</w:t>
      </w:r>
      <w:r>
        <w:rPr>
          <w:rFonts w:hint="eastAsia"/>
          <w:lang w:eastAsia="zh-CN"/>
        </w:rPr>
        <w:t>万家，是去年初的四倍多。</w:t>
      </w:r>
    </w:p>
    <w:p w14:paraId="60EAB3A4" w14:textId="77777777" w:rsidR="00D937E9" w:rsidRDefault="00000000">
      <w:pPr>
        <w:spacing w:line="360" w:lineRule="auto"/>
        <w:ind w:firstLine="560"/>
        <w:rPr>
          <w:lang w:eastAsia="zh-CN"/>
        </w:rPr>
      </w:pPr>
      <w:r>
        <w:rPr>
          <w:rFonts w:hint="eastAsia"/>
          <w:lang w:eastAsia="zh-CN"/>
        </w:rPr>
        <w:t>开展社保缴费宣传辅导，自然人劳务报酬代开发票实现“开票缴税一次办结”，开票环节增加文化事业建设费提示提醒功能……税务部门正在将精细服务的触角，延伸至经济社会运行的微小单元，让不同主体都能感受到税费服务的温度。</w:t>
      </w:r>
    </w:p>
    <w:p w14:paraId="26FA72D8" w14:textId="77777777" w:rsidR="00D937E9" w:rsidRDefault="00000000">
      <w:pPr>
        <w:spacing w:line="360" w:lineRule="auto"/>
        <w:ind w:firstLine="560"/>
        <w:rPr>
          <w:lang w:eastAsia="zh-CN"/>
        </w:rPr>
      </w:pPr>
      <w:r>
        <w:rPr>
          <w:rFonts w:hint="eastAsia"/>
          <w:lang w:eastAsia="zh-CN"/>
        </w:rPr>
        <w:t>合规引导进一步强化，失信风险化解于前端。</w:t>
      </w:r>
    </w:p>
    <w:p w14:paraId="7114A142" w14:textId="77777777" w:rsidR="00D937E9" w:rsidRDefault="00000000">
      <w:pPr>
        <w:spacing w:line="360" w:lineRule="auto"/>
        <w:ind w:firstLine="560"/>
        <w:rPr>
          <w:lang w:eastAsia="zh-CN"/>
        </w:rPr>
      </w:pPr>
      <w:r>
        <w:rPr>
          <w:rFonts w:hint="eastAsia"/>
          <w:lang w:eastAsia="zh-CN"/>
        </w:rPr>
        <w:t>《意见》明确提出，“强化合规引导”“引导纳税人主动纠正失信行为”。</w:t>
      </w:r>
    </w:p>
    <w:p w14:paraId="3F7B442F" w14:textId="77777777" w:rsidR="00D937E9" w:rsidRDefault="00000000">
      <w:pPr>
        <w:spacing w:line="360" w:lineRule="auto"/>
        <w:ind w:firstLine="560"/>
        <w:rPr>
          <w:lang w:eastAsia="zh-CN"/>
        </w:rPr>
      </w:pPr>
      <w:r>
        <w:rPr>
          <w:rFonts w:hint="eastAsia"/>
          <w:lang w:eastAsia="zh-CN"/>
        </w:rPr>
        <w:t>各地税务部门认真落实税务总局部署、因地制宜创新服务举措，推动风险事项从“事后监管”向“事前提醒”转变。</w:t>
      </w:r>
    </w:p>
    <w:p w14:paraId="76F3856E" w14:textId="77777777" w:rsidR="00D937E9" w:rsidRDefault="00000000">
      <w:pPr>
        <w:spacing w:line="360" w:lineRule="auto"/>
        <w:ind w:firstLine="560"/>
        <w:rPr>
          <w:lang w:eastAsia="zh-CN"/>
        </w:rPr>
      </w:pPr>
      <w:r>
        <w:rPr>
          <w:rFonts w:hint="eastAsia"/>
          <w:lang w:eastAsia="zh-CN"/>
        </w:rPr>
        <w:t>企业对政策规则不熟悉是风险的主要来源之一。杭州市西湖区有部分企业因分支机构注销未合规备案而被扣减纳税缴费信用分，原因就在于相关企业对政策规定的知晓率不高。杭州市西湖区税务局组织税务干部向扣分企业逐条解读《纳税缴费信用管理办法》中的相关规则，发布《分支机构注销纳税信用风险防控指引》，全程辅导扣分企业更正汇总</w:t>
      </w:r>
      <w:r>
        <w:rPr>
          <w:rFonts w:hint="eastAsia"/>
          <w:lang w:eastAsia="zh-CN"/>
        </w:rPr>
        <w:lastRenderedPageBreak/>
        <w:t>纳税备案信息、补齐涉税手续，发起信用修复申请。截至目前，辖区内</w:t>
      </w:r>
      <w:r>
        <w:rPr>
          <w:rFonts w:hint="eastAsia"/>
          <w:lang w:eastAsia="zh-CN"/>
        </w:rPr>
        <w:t>60</w:t>
      </w:r>
      <w:r>
        <w:rPr>
          <w:rFonts w:hint="eastAsia"/>
          <w:lang w:eastAsia="zh-CN"/>
        </w:rPr>
        <w:t>家企业已顺利完成备案变更和信用修复。</w:t>
      </w:r>
    </w:p>
    <w:p w14:paraId="7752BC4D" w14:textId="77777777" w:rsidR="00D937E9" w:rsidRDefault="00000000">
      <w:pPr>
        <w:spacing w:line="360" w:lineRule="auto"/>
        <w:ind w:firstLine="560"/>
        <w:rPr>
          <w:lang w:eastAsia="zh-CN"/>
        </w:rPr>
      </w:pPr>
      <w:r>
        <w:rPr>
          <w:rFonts w:hint="eastAsia"/>
          <w:lang w:eastAsia="zh-CN"/>
        </w:rPr>
        <w:t>修复之外，更重源头防范。针对先进制造业企业最为关心的增值税加计抵减、研发费用加计扣除等政策难点，湖南省税务局组织开设专题政策辅导课，以“政策剖析＋案例解析＋互动分析”的方式，把合规要点讲深讲透，把涉税风险点明点清。许多受益企业代表直言：“税务部门把风险提醒工作做在前面，我们更有底气防范涉税风险。”</w:t>
      </w:r>
    </w:p>
    <w:p w14:paraId="3C0ED32E" w14:textId="77777777" w:rsidR="00D937E9" w:rsidRDefault="00000000">
      <w:pPr>
        <w:spacing w:line="360" w:lineRule="auto"/>
        <w:ind w:firstLine="560"/>
        <w:rPr>
          <w:lang w:eastAsia="zh-CN"/>
        </w:rPr>
      </w:pPr>
      <w:r>
        <w:rPr>
          <w:rFonts w:hint="eastAsia"/>
          <w:lang w:eastAsia="zh-CN"/>
        </w:rPr>
        <w:t>协同联动进一步细化，“一次成”更便利。</w:t>
      </w:r>
    </w:p>
    <w:p w14:paraId="1FC85345" w14:textId="77777777" w:rsidR="00D937E9" w:rsidRDefault="00000000">
      <w:pPr>
        <w:spacing w:line="360" w:lineRule="auto"/>
        <w:ind w:firstLine="560"/>
        <w:rPr>
          <w:lang w:eastAsia="zh-CN"/>
        </w:rPr>
      </w:pPr>
      <w:r>
        <w:rPr>
          <w:rFonts w:hint="eastAsia"/>
          <w:lang w:eastAsia="zh-CN"/>
        </w:rPr>
        <w:t>今年的“便民办税春风行动”协同联动向纵深拓展，共治格局从“信息互通”向“一体联办”转变，曾经的“不可能”变成了“一次成”。</w:t>
      </w:r>
    </w:p>
    <w:p w14:paraId="632F4373" w14:textId="77777777" w:rsidR="00D937E9" w:rsidRDefault="00000000">
      <w:pPr>
        <w:spacing w:line="360" w:lineRule="auto"/>
        <w:ind w:firstLine="560"/>
        <w:rPr>
          <w:lang w:eastAsia="zh-CN"/>
        </w:rPr>
      </w:pPr>
      <w:r>
        <w:rPr>
          <w:rFonts w:hint="eastAsia"/>
          <w:lang w:eastAsia="zh-CN"/>
        </w:rPr>
        <w:t>在天津市河西区，为在餐饮、停车等民生高频消费场景开展“支付即开票”，税务部门主动联合文旅、市监、银行等部门及大型商超、酒店和连锁餐饮商家，召开专题推广会，强化部门协同宣传推广，为“支付即开票”服务扩围提供有力支撑。</w:t>
      </w:r>
    </w:p>
    <w:p w14:paraId="273B7443" w14:textId="77777777" w:rsidR="00D937E9" w:rsidRDefault="00000000">
      <w:pPr>
        <w:spacing w:line="360" w:lineRule="auto"/>
        <w:ind w:firstLine="560"/>
        <w:rPr>
          <w:lang w:eastAsia="zh-CN"/>
        </w:rPr>
      </w:pPr>
      <w:r>
        <w:rPr>
          <w:rFonts w:hint="eastAsia"/>
          <w:lang w:eastAsia="zh-CN"/>
        </w:rPr>
        <w:t>更大范围的协同正在有序推开。税务总局积极协同水利、商务、自然资源等部门，在水资源税、机动车销售统一发票核验、不动产登记领域实现数据共享，强化合规管理，方便纳税遵从。多地税务部门也结合自身实际联合人社、医保等部门，通过将灵活就业人员社保缴费业务接入地方政务平台等方式，实现灵活就业人员参保缴费“一件事一次办”。</w:t>
      </w:r>
    </w:p>
    <w:p w14:paraId="2EE7EDE1" w14:textId="77777777" w:rsidR="00D937E9" w:rsidRDefault="00000000">
      <w:pPr>
        <w:spacing w:line="360" w:lineRule="auto"/>
        <w:ind w:firstLine="560"/>
        <w:rPr>
          <w:lang w:eastAsia="zh-CN"/>
        </w:rPr>
      </w:pPr>
      <w:r>
        <w:rPr>
          <w:rFonts w:hint="eastAsia"/>
          <w:lang w:eastAsia="zh-CN"/>
        </w:rPr>
        <w:t>国家税务总局纳税服务司有关负责人表示，税务部门将牢固树立和践行正确政绩观，坚持全心全意为人民服务，持续深入抓好各项惠民利企措施落地，用实实在在的政绩赢得纳税人缴费人的满意与信赖，助力高质量推进中国式现代化税务实践走深走实。</w:t>
      </w:r>
    </w:p>
    <w:p w14:paraId="129DABC7" w14:textId="77777777" w:rsidR="00D937E9" w:rsidRDefault="00000000">
      <w:pPr>
        <w:widowControl w:val="0"/>
        <w:snapToGrid w:val="0"/>
        <w:spacing w:beforeLines="50" w:before="120" w:afterLines="50" w:after="120"/>
        <w:ind w:firstLine="560"/>
        <w:contextualSpacing/>
        <w:jc w:val="right"/>
        <w:rPr>
          <w:rFonts w:ascii="仿宋" w:hAnsi="仿宋" w:cs="仿宋" w:hint="eastAsia"/>
          <w:color w:val="000000"/>
          <w:szCs w:val="28"/>
          <w:lang w:eastAsia="zh-CN"/>
        </w:rPr>
      </w:pPr>
      <w:r>
        <w:rPr>
          <w:rFonts w:ascii="仿宋" w:hAnsi="仿宋" w:cs="仿宋" w:hint="eastAsia"/>
          <w:color w:val="000000"/>
          <w:szCs w:val="28"/>
          <w:lang w:eastAsia="zh-CN"/>
        </w:rPr>
        <w:t>信息来源：国家税务总局办公厅</w:t>
      </w:r>
    </w:p>
    <w:p w14:paraId="45D3BF5E" w14:textId="77777777" w:rsidR="00D937E9" w:rsidRDefault="00000000">
      <w:pPr>
        <w:ind w:firstLine="560"/>
        <w:jc w:val="right"/>
        <w:rPr>
          <w:lang w:eastAsia="zh-CN"/>
        </w:rPr>
      </w:pPr>
      <w:bookmarkStart w:id="17" w:name="_Toc1287"/>
      <w:r>
        <w:rPr>
          <w:rFonts w:ascii="仿宋" w:hAnsi="仿宋" w:cs="仿宋" w:hint="eastAsia"/>
          <w:color w:val="000000"/>
          <w:szCs w:val="28"/>
          <w:lang w:eastAsia="zh-CN"/>
        </w:rPr>
        <w:t>时间：2026年8月28日</w:t>
      </w:r>
      <w:bookmarkEnd w:id="17"/>
    </w:p>
    <w:p w14:paraId="67615D53" w14:textId="77777777" w:rsidR="00D937E9" w:rsidRDefault="00000000">
      <w:pPr>
        <w:pStyle w:val="2"/>
        <w:spacing w:before="140" w:after="140" w:line="360" w:lineRule="auto"/>
        <w:ind w:firstLine="600"/>
        <w:rPr>
          <w:lang w:eastAsia="zh-CN"/>
        </w:rPr>
      </w:pPr>
      <w:bookmarkStart w:id="18" w:name="_Toc12236"/>
      <w:r>
        <w:rPr>
          <w:rFonts w:hint="eastAsia"/>
          <w:lang w:eastAsia="zh-CN"/>
        </w:rPr>
        <w:lastRenderedPageBreak/>
        <w:t>（三）税收数据折射河南投资结构向新向优</w:t>
      </w:r>
      <w:bookmarkEnd w:id="18"/>
    </w:p>
    <w:p w14:paraId="1D4633BD" w14:textId="77777777" w:rsidR="00D937E9" w:rsidRDefault="00000000">
      <w:pPr>
        <w:widowControl w:val="0"/>
        <w:snapToGrid w:val="0"/>
        <w:spacing w:beforeLines="50" w:before="120" w:afterLines="50" w:after="120" w:line="360" w:lineRule="auto"/>
        <w:ind w:firstLine="560"/>
        <w:contextualSpacing/>
        <w:rPr>
          <w:rFonts w:ascii="仿宋" w:hAnsi="仿宋" w:cs="仿宋" w:hint="eastAsia"/>
          <w:bCs/>
          <w:szCs w:val="32"/>
          <w:lang w:eastAsia="zh-CN"/>
        </w:rPr>
      </w:pPr>
      <w:r>
        <w:rPr>
          <w:rFonts w:ascii="仿宋" w:hAnsi="仿宋" w:cs="仿宋" w:hint="eastAsia"/>
          <w:bCs/>
          <w:szCs w:val="32"/>
          <w:lang w:eastAsia="zh-CN"/>
        </w:rPr>
        <w:t>本报讯（记者胡冰 通讯员李倩倩）国家税务总局河南省税务局增值税发票数据显示，今年前7个月，河南省工业销售收入同比增长9%，高技术产业购进不动产金额大幅增长，投资结构向新向优。</w:t>
      </w:r>
    </w:p>
    <w:p w14:paraId="293B936E" w14:textId="77777777" w:rsidR="00D937E9" w:rsidRDefault="00000000">
      <w:pPr>
        <w:widowControl w:val="0"/>
        <w:snapToGrid w:val="0"/>
        <w:spacing w:beforeLines="50" w:before="120" w:afterLines="50" w:after="120" w:line="360" w:lineRule="auto"/>
        <w:ind w:firstLine="560"/>
        <w:contextualSpacing/>
        <w:rPr>
          <w:rFonts w:ascii="仿宋" w:hAnsi="仿宋" w:cs="仿宋" w:hint="eastAsia"/>
          <w:bCs/>
          <w:szCs w:val="32"/>
          <w:lang w:eastAsia="zh-CN"/>
        </w:rPr>
      </w:pPr>
      <w:r>
        <w:rPr>
          <w:rFonts w:ascii="仿宋" w:hAnsi="仿宋" w:cs="仿宋" w:hint="eastAsia"/>
          <w:bCs/>
          <w:szCs w:val="32"/>
          <w:lang w:eastAsia="zh-CN"/>
        </w:rPr>
        <w:t>今年前7个月，河南省高技术产业购进与固定资产投资密切相关的机械设备建筑服务不动产金额同比增长37.8%。高技术制造业、高技术服务业两翼发力，购进与固定资产投资密切相关的机械设备建筑服务不动产金额同比分别增长36%、39.3%。</w:t>
      </w:r>
    </w:p>
    <w:p w14:paraId="6D93BE85" w14:textId="77777777" w:rsidR="00D937E9" w:rsidRDefault="00000000">
      <w:pPr>
        <w:widowControl w:val="0"/>
        <w:snapToGrid w:val="0"/>
        <w:spacing w:beforeLines="50" w:before="120" w:afterLines="50" w:after="120" w:line="360" w:lineRule="auto"/>
        <w:ind w:firstLine="560"/>
        <w:contextualSpacing/>
        <w:rPr>
          <w:rFonts w:ascii="仿宋" w:hAnsi="仿宋" w:cs="仿宋" w:hint="eastAsia"/>
          <w:bCs/>
          <w:szCs w:val="32"/>
          <w:lang w:eastAsia="zh-CN"/>
        </w:rPr>
      </w:pPr>
      <w:r>
        <w:rPr>
          <w:rFonts w:ascii="仿宋" w:hAnsi="仿宋" w:cs="仿宋" w:hint="eastAsia"/>
          <w:bCs/>
          <w:szCs w:val="32"/>
          <w:lang w:eastAsia="zh-CN"/>
        </w:rPr>
        <w:t>制造业“压舱石”作用稳中有进。今年前7个月，全省制造业销售收入同比增长11%。装备制造业发展持续向好，销售收入同比增长14.3%，其中计算机通信和其他电子设备制造业、电气机械和器材制造业销售收入同比分别增长42.8%、20.1%，汽车制造业销售收入同比增长6.1%。</w:t>
      </w:r>
    </w:p>
    <w:p w14:paraId="5800F32B" w14:textId="77777777" w:rsidR="00D937E9" w:rsidRDefault="00000000">
      <w:pPr>
        <w:widowControl w:val="0"/>
        <w:snapToGrid w:val="0"/>
        <w:spacing w:beforeLines="50" w:before="120" w:afterLines="50" w:after="120" w:line="360" w:lineRule="auto"/>
        <w:ind w:firstLine="560"/>
        <w:contextualSpacing/>
        <w:rPr>
          <w:rFonts w:ascii="仿宋" w:hAnsi="仿宋" w:cs="仿宋" w:hint="eastAsia"/>
          <w:bCs/>
          <w:szCs w:val="32"/>
          <w:lang w:eastAsia="zh-CN"/>
        </w:rPr>
      </w:pPr>
      <w:r>
        <w:rPr>
          <w:rFonts w:ascii="仿宋" w:hAnsi="仿宋" w:cs="仿宋" w:hint="eastAsia"/>
          <w:bCs/>
          <w:szCs w:val="32"/>
          <w:lang w:eastAsia="zh-CN"/>
        </w:rPr>
        <w:t>消费市场“烟火气”渐浓。今年前7个月，全省综合零售业增长提速，销售收入同比增长4.6%。日用和部分升级类消费品销售平稳增长，生活性服务业稳步提升，住宿餐饮业销售收入同比增长7.2%，其中餐饮业销售收入同比增长13.2%。文旅消费平稳增长，文化艺术业销售收入同比增长23.2%。</w:t>
      </w:r>
    </w:p>
    <w:p w14:paraId="377DA664" w14:textId="77777777" w:rsidR="00D937E9" w:rsidRDefault="00000000">
      <w:pPr>
        <w:widowControl w:val="0"/>
        <w:snapToGrid w:val="0"/>
        <w:spacing w:beforeLines="50" w:before="120" w:afterLines="50" w:after="120" w:line="360" w:lineRule="auto"/>
        <w:ind w:firstLine="560"/>
        <w:contextualSpacing/>
        <w:rPr>
          <w:rFonts w:ascii="仿宋" w:hAnsi="仿宋" w:cs="仿宋" w:hint="eastAsia"/>
          <w:bCs/>
          <w:szCs w:val="32"/>
          <w:lang w:eastAsia="zh-CN"/>
        </w:rPr>
      </w:pPr>
      <w:r>
        <w:rPr>
          <w:rFonts w:ascii="仿宋" w:hAnsi="仿宋" w:cs="仿宋" w:hint="eastAsia"/>
          <w:bCs/>
          <w:szCs w:val="32"/>
          <w:lang w:eastAsia="zh-CN"/>
        </w:rPr>
        <w:t>河南财经政法大学财政税务学院税收教研室主任薛桂芝表示，增值税发票数据呈现的“制造发力、消费升温、投资向优”格局，是河南经济韧性与活力的真实写照。</w:t>
      </w:r>
    </w:p>
    <w:p w14:paraId="6A652823" w14:textId="77777777" w:rsidR="00D937E9" w:rsidRDefault="00D937E9">
      <w:pPr>
        <w:widowControl w:val="0"/>
        <w:snapToGrid w:val="0"/>
        <w:spacing w:beforeLines="50" w:before="120" w:afterLines="50" w:after="120" w:line="360" w:lineRule="auto"/>
        <w:ind w:firstLine="560"/>
        <w:contextualSpacing/>
        <w:rPr>
          <w:rFonts w:ascii="仿宋" w:hAnsi="仿宋" w:cs="仿宋" w:hint="eastAsia"/>
          <w:bCs/>
          <w:szCs w:val="32"/>
          <w:lang w:eastAsia="zh-CN"/>
        </w:rPr>
      </w:pPr>
    </w:p>
    <w:p w14:paraId="45C1B070" w14:textId="77777777" w:rsidR="00D937E9" w:rsidRDefault="00000000">
      <w:pPr>
        <w:widowControl w:val="0"/>
        <w:snapToGrid w:val="0"/>
        <w:spacing w:beforeLines="50" w:before="120" w:afterLines="50" w:after="120" w:line="360" w:lineRule="auto"/>
        <w:ind w:firstLine="560"/>
        <w:contextualSpacing/>
        <w:jc w:val="right"/>
        <w:rPr>
          <w:rFonts w:ascii="仿宋" w:hAnsi="仿宋" w:cs="仿宋" w:hint="eastAsia"/>
          <w:color w:val="000000"/>
          <w:szCs w:val="28"/>
          <w:lang w:eastAsia="zh-CN"/>
        </w:rPr>
      </w:pPr>
      <w:r>
        <w:rPr>
          <w:rFonts w:ascii="仿宋" w:hAnsi="仿宋" w:cs="仿宋" w:hint="eastAsia"/>
          <w:color w:val="000000"/>
          <w:szCs w:val="28"/>
          <w:lang w:eastAsia="zh-CN"/>
        </w:rPr>
        <w:t>信息来源：国家税务总局河南省税务局</w:t>
      </w:r>
    </w:p>
    <w:p w14:paraId="329A9DD8" w14:textId="77777777" w:rsidR="00D937E9" w:rsidRDefault="00000000">
      <w:pPr>
        <w:widowControl w:val="0"/>
        <w:snapToGrid w:val="0"/>
        <w:spacing w:beforeLines="50" w:before="120" w:afterLines="50" w:after="120" w:line="360" w:lineRule="auto"/>
        <w:ind w:firstLine="560"/>
        <w:contextualSpacing/>
        <w:jc w:val="right"/>
        <w:rPr>
          <w:rFonts w:ascii="仿宋" w:hAnsi="仿宋" w:cs="仿宋" w:hint="eastAsia"/>
          <w:color w:val="000000"/>
          <w:szCs w:val="28"/>
          <w:lang w:eastAsia="zh-CN"/>
        </w:rPr>
      </w:pPr>
      <w:r>
        <w:rPr>
          <w:rFonts w:ascii="仿宋" w:hAnsi="仿宋" w:cs="仿宋" w:hint="eastAsia"/>
          <w:color w:val="000000"/>
          <w:szCs w:val="28"/>
          <w:lang w:eastAsia="zh-CN"/>
        </w:rPr>
        <w:t>时间：2026年8月27日</w:t>
      </w:r>
    </w:p>
    <w:p w14:paraId="70A6232F" w14:textId="77777777" w:rsidR="00D937E9" w:rsidRDefault="00000000">
      <w:pPr>
        <w:pStyle w:val="2"/>
        <w:spacing w:before="140" w:after="140" w:line="360" w:lineRule="auto"/>
        <w:ind w:firstLine="600"/>
        <w:rPr>
          <w:lang w:eastAsia="zh-CN"/>
        </w:rPr>
      </w:pPr>
      <w:bookmarkStart w:id="19" w:name="_Toc11821"/>
      <w:r>
        <w:rPr>
          <w:rFonts w:hint="eastAsia"/>
          <w:lang w:eastAsia="zh-CN"/>
        </w:rPr>
        <w:lastRenderedPageBreak/>
        <w:t>（四）制造底盘稳</w:t>
      </w:r>
      <w:r>
        <w:rPr>
          <w:rFonts w:hint="eastAsia"/>
          <w:lang w:eastAsia="zh-CN"/>
        </w:rPr>
        <w:t xml:space="preserve"> </w:t>
      </w:r>
      <w:r>
        <w:rPr>
          <w:rFonts w:hint="eastAsia"/>
          <w:lang w:eastAsia="zh-CN"/>
        </w:rPr>
        <w:t>消费引擎热——从</w:t>
      </w:r>
      <w:r>
        <w:rPr>
          <w:rFonts w:hint="eastAsia"/>
          <w:lang w:eastAsia="zh-CN"/>
        </w:rPr>
        <w:t>1</w:t>
      </w:r>
      <w:r>
        <w:rPr>
          <w:rFonts w:hint="eastAsia"/>
          <w:lang w:eastAsia="zh-CN"/>
        </w:rPr>
        <w:t>—</w:t>
      </w:r>
      <w:r>
        <w:rPr>
          <w:rFonts w:hint="eastAsia"/>
          <w:lang w:eastAsia="zh-CN"/>
        </w:rPr>
        <w:t>7</w:t>
      </w:r>
      <w:r>
        <w:rPr>
          <w:rFonts w:hint="eastAsia"/>
          <w:lang w:eastAsia="zh-CN"/>
        </w:rPr>
        <w:t>月增值税发票数据看全省经济运行态势</w:t>
      </w:r>
      <w:bookmarkEnd w:id="19"/>
      <w:r>
        <w:rPr>
          <w:rFonts w:hint="eastAsia"/>
          <w:lang w:eastAsia="zh-CN"/>
        </w:rPr>
        <w:t>。</w:t>
      </w:r>
    </w:p>
    <w:p w14:paraId="30A0B95C" w14:textId="77777777" w:rsidR="00D937E9" w:rsidRDefault="00000000">
      <w:pPr>
        <w:widowControl w:val="0"/>
        <w:snapToGrid w:val="0"/>
        <w:spacing w:beforeLines="50" w:before="120" w:afterLines="50" w:after="120"/>
        <w:ind w:firstLine="560"/>
        <w:contextualSpacing/>
        <w:jc w:val="left"/>
        <w:rPr>
          <w:rFonts w:ascii="仿宋" w:hAnsi="仿宋" w:cs="仿宋" w:hint="eastAsia"/>
          <w:color w:val="000000"/>
          <w:szCs w:val="28"/>
          <w:lang w:eastAsia="zh-CN"/>
        </w:rPr>
      </w:pPr>
      <w:r>
        <w:rPr>
          <w:rFonts w:ascii="仿宋" w:hAnsi="仿宋" w:cs="仿宋" w:hint="eastAsia"/>
          <w:color w:val="000000"/>
          <w:szCs w:val="28"/>
          <w:lang w:eastAsia="zh-CN"/>
        </w:rPr>
        <w:t>增值税发票，是经济运行的“晴雨表”，也是观察产业脉动的“显微镜”。8月20日，国家税务总局河南省税务局发布的今年前7个月增值税发票数据显示，全省工业销售收入同比增长9.0%，全省经济运行总体平稳向好。</w:t>
      </w:r>
    </w:p>
    <w:p w14:paraId="20F3DEDB" w14:textId="77777777" w:rsidR="00D937E9" w:rsidRDefault="00000000">
      <w:pPr>
        <w:widowControl w:val="0"/>
        <w:snapToGrid w:val="0"/>
        <w:spacing w:beforeLines="50" w:before="120" w:afterLines="50" w:after="120"/>
        <w:ind w:firstLine="560"/>
        <w:contextualSpacing/>
        <w:jc w:val="left"/>
        <w:rPr>
          <w:rFonts w:ascii="仿宋" w:hAnsi="仿宋" w:cs="仿宋" w:hint="eastAsia"/>
          <w:color w:val="000000"/>
          <w:szCs w:val="28"/>
          <w:lang w:eastAsia="zh-CN"/>
        </w:rPr>
      </w:pPr>
      <w:r>
        <w:rPr>
          <w:rFonts w:ascii="仿宋" w:hAnsi="仿宋" w:cs="仿宋" w:hint="eastAsia"/>
          <w:color w:val="000000"/>
          <w:szCs w:val="28"/>
          <w:lang w:eastAsia="zh-CN"/>
        </w:rPr>
        <w:t>制造业“压舱石”稳中有进。今年前7个月，全省制造业销售收入同比增长11.0%。装备制造业发展持续向好，销售收入同比增长14.3%，其中计算机通信和其他电子设备制造业、电气机械和器材制造业销售收入同比分别增长42.8%、20.1%，汽车制造业销售收入同比增长6.1%。此外，制造业省际贸易额同比增长15.4%。</w:t>
      </w:r>
    </w:p>
    <w:p w14:paraId="46B948A2" w14:textId="77777777" w:rsidR="00D937E9" w:rsidRDefault="00000000">
      <w:pPr>
        <w:widowControl w:val="0"/>
        <w:snapToGrid w:val="0"/>
        <w:spacing w:beforeLines="50" w:before="120" w:afterLines="50" w:after="120"/>
        <w:ind w:firstLine="560"/>
        <w:contextualSpacing/>
        <w:jc w:val="left"/>
        <w:rPr>
          <w:rFonts w:ascii="仿宋" w:hAnsi="仿宋" w:cs="仿宋" w:hint="eastAsia"/>
          <w:color w:val="000000"/>
          <w:szCs w:val="28"/>
          <w:lang w:eastAsia="zh-CN"/>
        </w:rPr>
      </w:pPr>
      <w:r>
        <w:rPr>
          <w:rFonts w:ascii="仿宋" w:hAnsi="仿宋" w:cs="仿宋" w:hint="eastAsia"/>
          <w:color w:val="000000"/>
          <w:szCs w:val="28"/>
          <w:lang w:eastAsia="zh-CN"/>
        </w:rPr>
        <w:t>新动能“加速跑”势头正劲。高技术产业销售收入同比增长11.2%，其中高技术制造业销售收入同比增长36.0%，数字产品制造业销售收入同比增长27.6%。</w:t>
      </w:r>
    </w:p>
    <w:p w14:paraId="4D2436DB" w14:textId="77777777" w:rsidR="00D937E9" w:rsidRDefault="00000000">
      <w:pPr>
        <w:widowControl w:val="0"/>
        <w:snapToGrid w:val="0"/>
        <w:spacing w:beforeLines="50" w:before="120" w:afterLines="50" w:after="120"/>
        <w:ind w:firstLine="560"/>
        <w:contextualSpacing/>
        <w:jc w:val="left"/>
        <w:rPr>
          <w:rFonts w:ascii="仿宋" w:hAnsi="仿宋" w:cs="仿宋" w:hint="eastAsia"/>
          <w:color w:val="000000"/>
          <w:szCs w:val="28"/>
          <w:lang w:eastAsia="zh-CN"/>
        </w:rPr>
      </w:pPr>
      <w:r>
        <w:rPr>
          <w:rFonts w:ascii="仿宋" w:hAnsi="仿宋" w:cs="仿宋" w:hint="eastAsia"/>
          <w:color w:val="000000"/>
          <w:szCs w:val="28"/>
          <w:lang w:eastAsia="zh-CN"/>
        </w:rPr>
        <w:t>消费市场“烟火气”渐浓。今年前7个月，全省综合零售业增长提速，销售收入同比增长4.6%。日用和部分升级类消费品销售平稳增长，食品饮料及烟草制品专门零售、纺织服装及日用品专门零售、珠宝首饰零售销售收入同比分别增长6.3%、8.7%、26.8%。生活性服务业稳步提升，住宿餐饮业销售收入同比增长7.2%。文旅消费平稳增长，文化艺术业销售收入同比增长23.2%。</w:t>
      </w:r>
    </w:p>
    <w:p w14:paraId="01595EC2" w14:textId="77777777" w:rsidR="00D937E9" w:rsidRDefault="00000000">
      <w:pPr>
        <w:widowControl w:val="0"/>
        <w:snapToGrid w:val="0"/>
        <w:spacing w:beforeLines="50" w:before="120" w:afterLines="50" w:after="120"/>
        <w:ind w:firstLine="560"/>
        <w:contextualSpacing/>
        <w:jc w:val="left"/>
        <w:rPr>
          <w:rFonts w:ascii="仿宋" w:hAnsi="仿宋" w:cs="仿宋" w:hint="eastAsia"/>
          <w:color w:val="000000"/>
          <w:szCs w:val="28"/>
          <w:lang w:eastAsia="zh-CN"/>
        </w:rPr>
      </w:pPr>
      <w:r>
        <w:rPr>
          <w:rFonts w:ascii="仿宋" w:hAnsi="仿宋" w:cs="仿宋" w:hint="eastAsia"/>
          <w:color w:val="000000"/>
          <w:szCs w:val="28"/>
          <w:lang w:eastAsia="zh-CN"/>
        </w:rPr>
        <w:t>投资结构向新向优。今年前7个月，我省工业购进与固定资产投资密切相关的机械设备建筑服务不动产金额同比增长9.1%；投资结构不断优化，高技术产业购进与固定资产投资密切相关的机械设备建筑服务不动产金额同比增长37.8%。高技术制造业、高技术服务业两翼发力，购进与固定资产投资密切相关的机械设备建筑服务不动产金额同比分别增长36.0%、39.3%。</w:t>
      </w:r>
    </w:p>
    <w:p w14:paraId="5C94DADE" w14:textId="77777777" w:rsidR="00D937E9" w:rsidRDefault="00000000">
      <w:pPr>
        <w:widowControl w:val="0"/>
        <w:snapToGrid w:val="0"/>
        <w:spacing w:beforeLines="50" w:before="120" w:afterLines="50" w:after="120"/>
        <w:ind w:firstLine="560"/>
        <w:contextualSpacing/>
        <w:jc w:val="left"/>
        <w:rPr>
          <w:rFonts w:ascii="仿宋" w:hAnsi="仿宋" w:cs="仿宋" w:hint="eastAsia"/>
          <w:color w:val="000000"/>
          <w:szCs w:val="28"/>
          <w:lang w:eastAsia="zh-CN"/>
        </w:rPr>
      </w:pPr>
      <w:r>
        <w:rPr>
          <w:rFonts w:ascii="仿宋" w:hAnsi="仿宋" w:cs="仿宋" w:hint="eastAsia"/>
          <w:color w:val="000000"/>
          <w:szCs w:val="28"/>
          <w:lang w:eastAsia="zh-CN"/>
        </w:rPr>
        <w:t>河南财经政法大学财政税务学院税收教研室主任薛桂芝认为，1—7月增值税发票数据显示全省制造业销售收入同比增长11.0%，充分印证了工业稳则经济稳的基本逻辑，也为河南在“十五五”开局之年夯实了产业根基。整体来看，增值税发票数据呈现的“制造发力、消费升温、投</w:t>
      </w:r>
      <w:r>
        <w:rPr>
          <w:rFonts w:ascii="仿宋" w:hAnsi="仿宋" w:cs="仿宋" w:hint="eastAsia"/>
          <w:color w:val="000000"/>
          <w:szCs w:val="28"/>
          <w:lang w:eastAsia="zh-CN"/>
        </w:rPr>
        <w:lastRenderedPageBreak/>
        <w:t>资向优、外贸扩量”格局，是河南经济韧性与活力的真实写照。</w:t>
      </w:r>
    </w:p>
    <w:p w14:paraId="559D5ECD" w14:textId="77777777" w:rsidR="00D937E9" w:rsidRDefault="00D937E9">
      <w:pPr>
        <w:widowControl w:val="0"/>
        <w:snapToGrid w:val="0"/>
        <w:spacing w:beforeLines="50" w:before="120" w:afterLines="50" w:after="120"/>
        <w:ind w:firstLine="560"/>
        <w:contextualSpacing/>
        <w:jc w:val="left"/>
        <w:rPr>
          <w:rFonts w:ascii="仿宋" w:hAnsi="仿宋" w:cs="仿宋" w:hint="eastAsia"/>
          <w:color w:val="000000"/>
          <w:szCs w:val="28"/>
          <w:lang w:eastAsia="zh-CN"/>
        </w:rPr>
      </w:pPr>
    </w:p>
    <w:p w14:paraId="114AAFD9" w14:textId="77777777" w:rsidR="00D937E9" w:rsidRDefault="00000000">
      <w:pPr>
        <w:widowControl w:val="0"/>
        <w:snapToGrid w:val="0"/>
        <w:spacing w:beforeLines="50" w:before="120" w:afterLines="50" w:after="120" w:line="360" w:lineRule="auto"/>
        <w:ind w:firstLine="560"/>
        <w:contextualSpacing/>
        <w:jc w:val="right"/>
        <w:rPr>
          <w:rFonts w:ascii="仿宋" w:hAnsi="仿宋" w:cs="仿宋" w:hint="eastAsia"/>
          <w:color w:val="000000"/>
          <w:szCs w:val="28"/>
          <w:lang w:eastAsia="zh-CN"/>
        </w:rPr>
      </w:pPr>
      <w:r>
        <w:rPr>
          <w:rFonts w:ascii="仿宋" w:hAnsi="仿宋" w:cs="仿宋" w:hint="eastAsia"/>
          <w:color w:val="000000"/>
          <w:szCs w:val="28"/>
          <w:lang w:eastAsia="zh-CN"/>
        </w:rPr>
        <w:t>信息来源：国家税务总局河南省税务局</w:t>
      </w:r>
    </w:p>
    <w:p w14:paraId="7948D558" w14:textId="77777777" w:rsidR="00D937E9" w:rsidRDefault="00000000">
      <w:pPr>
        <w:widowControl w:val="0"/>
        <w:snapToGrid w:val="0"/>
        <w:spacing w:beforeLines="50" w:before="120" w:afterLines="50" w:after="120" w:line="360" w:lineRule="auto"/>
        <w:ind w:firstLine="560"/>
        <w:contextualSpacing/>
        <w:jc w:val="right"/>
        <w:rPr>
          <w:rFonts w:ascii="仿宋" w:hAnsi="仿宋" w:cs="仿宋" w:hint="eastAsia"/>
          <w:color w:val="000000"/>
          <w:szCs w:val="28"/>
          <w:lang w:eastAsia="zh-CN"/>
        </w:rPr>
      </w:pPr>
      <w:r>
        <w:rPr>
          <w:rFonts w:ascii="仿宋" w:hAnsi="仿宋" w:cs="仿宋" w:hint="eastAsia"/>
          <w:color w:val="000000"/>
          <w:szCs w:val="28"/>
          <w:lang w:eastAsia="zh-CN"/>
        </w:rPr>
        <w:t>时间：2026年8月24日</w:t>
      </w:r>
    </w:p>
    <w:p w14:paraId="7A2D960A" w14:textId="77777777" w:rsidR="00D937E9" w:rsidRDefault="00D937E9">
      <w:pPr>
        <w:widowControl w:val="0"/>
        <w:snapToGrid w:val="0"/>
        <w:spacing w:beforeLines="50" w:before="120" w:afterLines="50" w:after="120"/>
        <w:ind w:firstLine="560"/>
        <w:contextualSpacing/>
        <w:jc w:val="right"/>
        <w:rPr>
          <w:rFonts w:ascii="仿宋" w:hAnsi="仿宋" w:cs="仿宋" w:hint="eastAsia"/>
          <w:color w:val="000000"/>
          <w:szCs w:val="28"/>
          <w:lang w:eastAsia="zh-CN"/>
        </w:rPr>
      </w:pPr>
    </w:p>
    <w:p w14:paraId="41E1EE40" w14:textId="77777777" w:rsidR="00D937E9" w:rsidRDefault="00000000">
      <w:pPr>
        <w:pStyle w:val="1"/>
        <w:numPr>
          <w:ilvl w:val="0"/>
          <w:numId w:val="3"/>
        </w:numPr>
        <w:ind w:firstLine="640"/>
        <w:rPr>
          <w:rFonts w:hint="eastAsia"/>
        </w:rPr>
      </w:pPr>
      <w:bookmarkStart w:id="20" w:name="三、新法概览"/>
      <w:bookmarkStart w:id="21" w:name="_Toc3482"/>
      <w:bookmarkStart w:id="22" w:name="_Toc9334"/>
      <w:bookmarkStart w:id="23" w:name="_Toc11775"/>
      <w:bookmarkStart w:id="24" w:name="_Toc28234"/>
      <w:bookmarkStart w:id="25" w:name="_Toc500"/>
      <w:bookmarkStart w:id="26" w:name="_Toc29802"/>
      <w:bookmarkStart w:id="27" w:name="_Toc4591"/>
      <w:bookmarkEnd w:id="20"/>
      <w:r>
        <w:rPr>
          <w:rFonts w:hint="eastAsia"/>
        </w:rPr>
        <w:t>新法概览</w:t>
      </w:r>
      <w:bookmarkEnd w:id="21"/>
      <w:bookmarkEnd w:id="22"/>
      <w:bookmarkEnd w:id="23"/>
      <w:bookmarkEnd w:id="24"/>
      <w:bookmarkEnd w:id="25"/>
      <w:bookmarkEnd w:id="26"/>
      <w:bookmarkEnd w:id="27"/>
    </w:p>
    <w:p w14:paraId="137DE764" w14:textId="77777777" w:rsidR="00D937E9" w:rsidRDefault="00000000">
      <w:pPr>
        <w:pStyle w:val="2"/>
        <w:spacing w:before="140" w:after="140" w:line="360" w:lineRule="auto"/>
        <w:ind w:firstLine="600"/>
        <w:rPr>
          <w:lang w:eastAsia="zh-CN"/>
        </w:rPr>
      </w:pPr>
      <w:bookmarkStart w:id="28" w:name="_Toc25929"/>
      <w:bookmarkStart w:id="29" w:name="_Toc27859"/>
      <w:bookmarkStart w:id="30" w:name="_Toc23282"/>
      <w:bookmarkStart w:id="31" w:name="_Toc12373"/>
      <w:bookmarkStart w:id="32" w:name="_Toc20834"/>
      <w:bookmarkStart w:id="33" w:name="_Toc19888"/>
      <w:bookmarkStart w:id="34" w:name="_Toc3761"/>
      <w:r>
        <w:rPr>
          <w:rFonts w:hint="eastAsia"/>
          <w:lang w:eastAsia="zh-CN"/>
        </w:rPr>
        <w:t>（一）国家税务总局关于《中华人民共和国政府和挪威王国政府对所得消除双重征税和防止逃避税的协定》及议定书生效执行的公告　国家税务总局公告</w:t>
      </w:r>
      <w:r>
        <w:rPr>
          <w:rFonts w:hint="eastAsia"/>
          <w:lang w:eastAsia="zh-CN"/>
        </w:rPr>
        <w:t>2026</w:t>
      </w:r>
      <w:r>
        <w:rPr>
          <w:rFonts w:hint="eastAsia"/>
          <w:lang w:eastAsia="zh-CN"/>
        </w:rPr>
        <w:t>年第</w:t>
      </w:r>
      <w:r>
        <w:rPr>
          <w:rFonts w:hint="eastAsia"/>
          <w:lang w:eastAsia="zh-CN"/>
        </w:rPr>
        <w:t>17</w:t>
      </w:r>
      <w:r>
        <w:rPr>
          <w:rFonts w:hint="eastAsia"/>
          <w:lang w:eastAsia="zh-CN"/>
        </w:rPr>
        <w:t>号</w:t>
      </w:r>
      <w:bookmarkEnd w:id="28"/>
    </w:p>
    <w:p w14:paraId="6022AE82" w14:textId="77777777" w:rsidR="00D937E9"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中华人民共和国政府和挪威王国政府对所得消除双重征税和防止逃避税的协定》及议定书（以下简称《协定》）于2023年5月12日在奥斯陆正式签署。中挪双方已完成《协定》生效所必需的各自国内法律程序。《协定》于2026年6月16日生效，适用于2027年1月1日或以后开始的纳税年度取得的所得。</w:t>
      </w:r>
    </w:p>
    <w:p w14:paraId="2D8DA07F" w14:textId="77777777" w:rsidR="00D937E9"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《协定》文本已在国家税务总局网站发布。</w:t>
      </w:r>
    </w:p>
    <w:p w14:paraId="2D52F7DD" w14:textId="77777777" w:rsidR="00D937E9" w:rsidRDefault="00000000">
      <w:pPr>
        <w:pStyle w:val="aa"/>
        <w:spacing w:beforeLines="50" w:before="120" w:beforeAutospacing="0" w:afterLines="50" w:after="120" w:afterAutospacing="0"/>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特此公告。</w:t>
      </w:r>
    </w:p>
    <w:p w14:paraId="62FB96F3" w14:textId="77777777" w:rsidR="00D937E9" w:rsidRDefault="00000000">
      <w:pPr>
        <w:pStyle w:val="aa"/>
        <w:spacing w:beforeLines="50" w:before="120" w:beforeAutospacing="0" w:afterLines="50" w:after="120" w:afterAutospacing="0"/>
        <w:ind w:firstLine="560"/>
        <w:jc w:val="center"/>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                                          国家税务总局</w:t>
      </w:r>
    </w:p>
    <w:p w14:paraId="68DAD4EC" w14:textId="77777777" w:rsidR="00D937E9" w:rsidRDefault="00000000">
      <w:pPr>
        <w:pStyle w:val="aa"/>
        <w:spacing w:beforeLines="50" w:before="120" w:beforeAutospacing="0" w:afterLines="50" w:after="120" w:afterAutospacing="0"/>
        <w:ind w:firstLine="560"/>
        <w:jc w:val="right"/>
        <w:rPr>
          <w:rFonts w:ascii="仿宋" w:hAnsi="仿宋" w:cs="仿宋" w:hint="eastAsia"/>
          <w:color w:val="000000"/>
          <w:szCs w:val="28"/>
        </w:rPr>
      </w:pPr>
      <w:r>
        <w:rPr>
          <w:rFonts w:ascii="仿宋" w:hAnsi="仿宋" w:cs="仿宋" w:hint="eastAsia"/>
          <w:color w:val="333333"/>
          <w:sz w:val="28"/>
          <w:szCs w:val="28"/>
          <w:shd w:val="clear" w:color="auto" w:fill="FFFFFF"/>
        </w:rPr>
        <w:t>2026年8月10日</w:t>
      </w:r>
    </w:p>
    <w:p w14:paraId="2E274A1C" w14:textId="77777777" w:rsidR="00D937E9" w:rsidRDefault="00000000">
      <w:pPr>
        <w:pStyle w:val="2"/>
        <w:spacing w:before="140" w:after="140" w:line="360" w:lineRule="auto"/>
        <w:ind w:firstLine="600"/>
        <w:rPr>
          <w:lang w:eastAsia="zh-CN"/>
        </w:rPr>
      </w:pPr>
      <w:bookmarkStart w:id="35" w:name="_Toc29193"/>
      <w:bookmarkStart w:id="36" w:name="_Toc8738"/>
      <w:bookmarkStart w:id="37" w:name="_Toc1745"/>
      <w:bookmarkStart w:id="38" w:name="_Toc27263"/>
      <w:bookmarkStart w:id="39" w:name="_Toc24114"/>
      <w:bookmarkStart w:id="40" w:name="_Toc28889"/>
      <w:r>
        <w:rPr>
          <w:rFonts w:hint="eastAsia"/>
          <w:lang w:eastAsia="zh-CN"/>
        </w:rPr>
        <w:t>（二）</w:t>
      </w:r>
      <w:bookmarkEnd w:id="35"/>
      <w:bookmarkEnd w:id="36"/>
      <w:bookmarkEnd w:id="37"/>
      <w:bookmarkEnd w:id="38"/>
      <w:bookmarkEnd w:id="39"/>
      <w:r>
        <w:rPr>
          <w:rFonts w:hint="eastAsia"/>
          <w:lang w:eastAsia="zh-CN"/>
        </w:rPr>
        <w:t>国家税务总局关于公布失效废止的部分税务规范性文件目录的公告　国家税务总局公告</w:t>
      </w:r>
      <w:r>
        <w:rPr>
          <w:rFonts w:hint="eastAsia"/>
          <w:lang w:eastAsia="zh-CN"/>
        </w:rPr>
        <w:t>2026</w:t>
      </w:r>
      <w:r>
        <w:rPr>
          <w:rFonts w:hint="eastAsia"/>
          <w:lang w:eastAsia="zh-CN"/>
        </w:rPr>
        <w:t>年第</w:t>
      </w:r>
      <w:r>
        <w:rPr>
          <w:rFonts w:hint="eastAsia"/>
          <w:lang w:eastAsia="zh-CN"/>
        </w:rPr>
        <w:t>18</w:t>
      </w:r>
      <w:r>
        <w:rPr>
          <w:rFonts w:hint="eastAsia"/>
          <w:lang w:eastAsia="zh-CN"/>
        </w:rPr>
        <w:t>号</w:t>
      </w:r>
      <w:bookmarkEnd w:id="40"/>
    </w:p>
    <w:p w14:paraId="3452EEFC"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根据《中华人民共和国增值税法》《中华人民共和国增值税法实施条例》等规定，国家税务总局对相关税务规范性文件进行了清理。现将《失效废止的部分税务规范性文件目录》予以公布。</w:t>
      </w:r>
    </w:p>
    <w:p w14:paraId="6CA71914"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特此公告。</w:t>
      </w:r>
    </w:p>
    <w:p w14:paraId="617A04CE"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附件：失效废止的部分税务规范性文件目录</w:t>
      </w:r>
    </w:p>
    <w:p w14:paraId="21174C72" w14:textId="77777777" w:rsidR="00D937E9" w:rsidRDefault="00000000">
      <w:pPr>
        <w:pStyle w:val="aa"/>
        <w:spacing w:beforeLines="50" w:before="120" w:beforeAutospacing="0" w:afterLines="50" w:after="120" w:afterAutospacing="0" w:line="360" w:lineRule="auto"/>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lastRenderedPageBreak/>
        <w:t>国家税务总局</w:t>
      </w:r>
    </w:p>
    <w:p w14:paraId="15DC83B0" w14:textId="77777777" w:rsidR="00D937E9" w:rsidRDefault="00000000">
      <w:pPr>
        <w:pStyle w:val="aa"/>
        <w:spacing w:beforeLines="50" w:before="120" w:beforeAutospacing="0" w:afterLines="50" w:after="120" w:afterAutospacing="0" w:line="360" w:lineRule="auto"/>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2026年8月10日</w:t>
      </w:r>
    </w:p>
    <w:p w14:paraId="47B4BB59"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rPr>
      </w:pPr>
      <w:r>
        <w:rPr>
          <w:rFonts w:ascii="仿宋" w:hAnsi="仿宋" w:cs="仿宋" w:hint="eastAsia"/>
          <w:color w:val="333333"/>
          <w:sz w:val="28"/>
          <w:szCs w:val="28"/>
          <w:shd w:val="clear" w:color="auto" w:fill="FFFFFF"/>
        </w:rPr>
        <w:t xml:space="preserve">说明：所附《失效废止的部分税务规范性文件目录》共列明文件144件，其中“全文”失效废止136件、“部分条款”失效废止8件，涉及增值税的文件41件。目录首件为《国家税务总局关于印发〈增值税部分货物征税范围注释〉的通知》（国税发〔1993〕151号），末件为《国家税务总局关于支持个体工商户复工复业等税收征收管理事项的公告》（国家税务总局公告2020年第5号）。建议各企业、机构对照该目录梳理常用规范性文件清单，标注失效废止与替代关系，避免继续援引已经失效的文件。                  </w:t>
      </w:r>
      <w:bookmarkStart w:id="41" w:name="四、新规解读"/>
      <w:bookmarkEnd w:id="41"/>
    </w:p>
    <w:p w14:paraId="7B8418F3" w14:textId="77777777" w:rsidR="00D937E9" w:rsidRDefault="00000000">
      <w:pPr>
        <w:pStyle w:val="2"/>
        <w:spacing w:before="140" w:after="140" w:line="360" w:lineRule="auto"/>
        <w:ind w:firstLine="600"/>
        <w:rPr>
          <w:lang w:eastAsia="zh-CN"/>
        </w:rPr>
      </w:pPr>
      <w:bookmarkStart w:id="42" w:name="_Toc21251"/>
      <w:bookmarkStart w:id="43" w:name="_Toc30141"/>
      <w:bookmarkStart w:id="44" w:name="_Toc15845"/>
      <w:bookmarkStart w:id="45" w:name="_Toc32052"/>
      <w:bookmarkStart w:id="46" w:name="_Toc1862"/>
      <w:bookmarkStart w:id="47" w:name="_Toc30922"/>
      <w:r>
        <w:rPr>
          <w:rFonts w:hint="eastAsia"/>
          <w:lang w:eastAsia="zh-CN"/>
        </w:rPr>
        <w:t>（三）</w:t>
      </w:r>
      <w:bookmarkEnd w:id="42"/>
      <w:bookmarkEnd w:id="43"/>
      <w:bookmarkEnd w:id="44"/>
      <w:bookmarkEnd w:id="45"/>
      <w:bookmarkEnd w:id="46"/>
      <w:r>
        <w:rPr>
          <w:rFonts w:hint="eastAsia"/>
          <w:lang w:eastAsia="zh-CN"/>
        </w:rPr>
        <w:t>关于集成电路企业、工业母机企业非货币性资产交换企业所得税政策的公告</w:t>
      </w:r>
      <w:r>
        <w:rPr>
          <w:rFonts w:hint="eastAsia"/>
          <w:lang w:eastAsia="zh-CN"/>
        </w:rPr>
        <w:t xml:space="preserve"> </w:t>
      </w:r>
      <w:r>
        <w:rPr>
          <w:rFonts w:hint="eastAsia"/>
          <w:lang w:eastAsia="zh-CN"/>
        </w:rPr>
        <w:t>财政部</w:t>
      </w:r>
      <w:r>
        <w:rPr>
          <w:rFonts w:hint="eastAsia"/>
          <w:lang w:eastAsia="zh-CN"/>
        </w:rPr>
        <w:t xml:space="preserve"> </w:t>
      </w:r>
      <w:r>
        <w:rPr>
          <w:rFonts w:hint="eastAsia"/>
          <w:lang w:eastAsia="zh-CN"/>
        </w:rPr>
        <w:t>税务总局</w:t>
      </w:r>
      <w:r>
        <w:rPr>
          <w:rFonts w:hint="eastAsia"/>
          <w:lang w:eastAsia="zh-CN"/>
        </w:rPr>
        <w:t xml:space="preserve"> </w:t>
      </w:r>
      <w:r>
        <w:rPr>
          <w:rFonts w:hint="eastAsia"/>
          <w:lang w:eastAsia="zh-CN"/>
        </w:rPr>
        <w:t>国家发展改革委</w:t>
      </w:r>
      <w:r>
        <w:rPr>
          <w:rFonts w:hint="eastAsia"/>
          <w:lang w:eastAsia="zh-CN"/>
        </w:rPr>
        <w:t xml:space="preserve"> </w:t>
      </w:r>
      <w:r>
        <w:rPr>
          <w:rFonts w:hint="eastAsia"/>
          <w:lang w:eastAsia="zh-CN"/>
        </w:rPr>
        <w:t>工业和信息化部公告</w:t>
      </w:r>
      <w:r>
        <w:rPr>
          <w:rFonts w:hint="eastAsia"/>
          <w:lang w:eastAsia="zh-CN"/>
        </w:rPr>
        <w:t>2026</w:t>
      </w:r>
      <w:r>
        <w:rPr>
          <w:rFonts w:hint="eastAsia"/>
          <w:lang w:eastAsia="zh-CN"/>
        </w:rPr>
        <w:t>年第</w:t>
      </w:r>
      <w:r>
        <w:rPr>
          <w:rFonts w:hint="eastAsia"/>
          <w:lang w:eastAsia="zh-CN"/>
        </w:rPr>
        <w:t>23</w:t>
      </w:r>
      <w:r>
        <w:rPr>
          <w:rFonts w:hint="eastAsia"/>
          <w:lang w:eastAsia="zh-CN"/>
        </w:rPr>
        <w:t>号（发布日期：</w:t>
      </w:r>
      <w:r>
        <w:rPr>
          <w:rFonts w:hint="eastAsia"/>
          <w:lang w:eastAsia="zh-CN"/>
        </w:rPr>
        <w:t>2026</w:t>
      </w:r>
      <w:r>
        <w:rPr>
          <w:rFonts w:hint="eastAsia"/>
          <w:lang w:eastAsia="zh-CN"/>
        </w:rPr>
        <w:t>年</w:t>
      </w:r>
      <w:r>
        <w:rPr>
          <w:rFonts w:hint="eastAsia"/>
          <w:lang w:eastAsia="zh-CN"/>
        </w:rPr>
        <w:t>8</w:t>
      </w:r>
      <w:r>
        <w:rPr>
          <w:rFonts w:hint="eastAsia"/>
          <w:lang w:eastAsia="zh-CN"/>
        </w:rPr>
        <w:t>月</w:t>
      </w:r>
      <w:r>
        <w:rPr>
          <w:rFonts w:hint="eastAsia"/>
          <w:lang w:eastAsia="zh-CN"/>
        </w:rPr>
        <w:t>14</w:t>
      </w:r>
      <w:r>
        <w:rPr>
          <w:rFonts w:hint="eastAsia"/>
          <w:lang w:eastAsia="zh-CN"/>
        </w:rPr>
        <w:t>日）</w:t>
      </w:r>
      <w:bookmarkEnd w:id="47"/>
    </w:p>
    <w:p w14:paraId="15BE1765"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现就集成电路企业、工业母机企业非货币性资产交换企业所得税政策公告如下：</w:t>
      </w:r>
    </w:p>
    <w:p w14:paraId="38942D92"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一、集成电路企业、工业母机企业在2026年1月1日至2028年12月31日期间发生非货币性资产交换，按规定确认的非货币性资产交换所得，可在不超过5年期限内分期均匀计入相应年度的应纳税所得额，按现行政策规定计算缴纳企业所得税；企业进行非货币性资产交换所发生的损失，不得分期确认。</w:t>
      </w:r>
    </w:p>
    <w:p w14:paraId="27A51681"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二、与集成电路企业、工业母机企业发生非货币性资产交换的企业，应按现行政策规定确认非货币性资产交换所得并依法纳税。如发生非货币性资产交换的企业双方均为集成电路企业、工业母机企业，双方均可享受本公告规定的税收优惠政策。</w:t>
      </w:r>
    </w:p>
    <w:p w14:paraId="035D0BE3"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lastRenderedPageBreak/>
        <w:t>三、发生非货币性资产交换的企业双方，应以非货币性资产交换中对应的换入非货币性资产的公允价值，扣除对应的换出非货币性资产的计税基础及相关税费后的余额，计算确认非货币性资产交换所得。</w:t>
      </w:r>
    </w:p>
    <w:p w14:paraId="239DBFB6"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四、发生非货币性资产交换的企业双方取得的非货币性资产，以该资产的公允价值和支付的相关税费为计税基础。</w:t>
      </w:r>
    </w:p>
    <w:p w14:paraId="75D05E17"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五、本公告所称非货币性资产，是指现金、存款、应收账款、应收票据以及准备持有至到期的债券投资等货币性资产以外的资产。本公告所称非货币性资产交换，是指企业以非货币性资产交换非货币性资产。</w:t>
      </w:r>
    </w:p>
    <w:p w14:paraId="55B6824E"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一项交易同时涉及非货币性资产和货币性资产的，以非货币性资产换入非货币性资产的部分，相应确认的非货币性资产交换所得可按本公告规定适用分期纳税政策；以非货币性资产换入货币性资产的部分，属于取得货币形式对价的交易，应按现行规定确认相应的所得或损失，不得享受分期纳税政策，如交易双方均涉及货币性资产，换入货币性资产为货币性资产的差额。</w:t>
      </w:r>
    </w:p>
    <w:p w14:paraId="55B1BE2E"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六、集成电路企业、工业母机企业发生非货币性资产交换5年内转让所取得资产的，应停止执行分期纳税政策，并就分期纳税期内尚未确认的非货币性资产交换所得，在转让该资产当年的企业所得税年度汇算清缴时，一次性计算缴纳企业所得税。</w:t>
      </w:r>
    </w:p>
    <w:p w14:paraId="1ED9CE5E"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集成电路企业、工业母机企业在发生非货币性资产交换5年内注销的，应停止执行分期纳税政策，并就分期纳税期内尚未确认的非货币性资产交换所得，在注销当年的企业所得税年度汇算清缴时，一次性计算缴纳企业所得税。</w:t>
      </w:r>
    </w:p>
    <w:p w14:paraId="24CEB5F4"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七、本公告所称集成电路企业和工业母机企业，是指符合《财政部 税务总局 国家发展改革委 工业和信息化部关于提高集成电路和工业母机企业研发费用加计扣除比例的公告》（财政部 税务总局 国家发展改</w:t>
      </w:r>
      <w:r>
        <w:rPr>
          <w:rFonts w:ascii="仿宋" w:hAnsi="仿宋" w:cs="仿宋" w:hint="eastAsia"/>
          <w:color w:val="333333"/>
          <w:szCs w:val="28"/>
          <w:shd w:val="clear" w:color="auto" w:fill="FFFFFF"/>
          <w:lang w:eastAsia="zh-CN"/>
        </w:rPr>
        <w:lastRenderedPageBreak/>
        <w:t>革委 工业和信息化部公告2023年第44号，以下简称44号公告）规定的企业。如有更新，从其规定。</w:t>
      </w:r>
    </w:p>
    <w:p w14:paraId="29272842"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按照44号公告采用清单管理的集成电路企业和工业母机企业，由国家发展改革委、工业和信息化部于每年3月底前按规定向财政部、税务总局提供上一年度可享受优惠的企业清单；不采用清单管理的，税务机关可按规定转请发展改革、工业和信息化部门进行核查。</w:t>
      </w:r>
    </w:p>
    <w:p w14:paraId="5E4044EA"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八、企业发生非货币性资产投资涉及的企业所得税，继续按《财政部 国家税务总局关于非货币性资产投资企业所得税政策问题的通知》（财税〔2014〕116号）、《财政部 国家税务总局关于完善股权激励和技术入股有关所得税政策的通知》（财税〔2016〕101号）执行。</w:t>
      </w:r>
    </w:p>
    <w:p w14:paraId="62A0B626"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九、企业发生非货币性资产交换，符合《财政部 国家税务总局关于企业重组业务企业所得税处理若干问题的通知》（财税〔2009〕59号）、《财政部 国家税务总局关于促进企业重组有关企业所得税处理问题的通知》（财税〔2014〕109号）等文件规定的相关税收政策条件的，企业可选择按其中一项政策规定执行，一经选择不得改变。</w:t>
      </w:r>
    </w:p>
    <w:p w14:paraId="4A78B449"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十、本公告自2026年1月1日至2028年12月31日执行。企业在2028年12月31日享受本公告规定的分期纳税政策未满5年的，可继续享受至5年期满。</w:t>
      </w:r>
    </w:p>
    <w:p w14:paraId="13A91E41" w14:textId="77777777" w:rsidR="00D937E9" w:rsidRDefault="00000000">
      <w:pPr>
        <w:spacing w:beforeLines="50" w:before="120" w:afterLines="50" w:after="120" w:line="360" w:lineRule="auto"/>
        <w:ind w:firstLine="560"/>
        <w:jc w:val="lef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 xml:space="preserve">　　特此公告。</w:t>
      </w:r>
    </w:p>
    <w:p w14:paraId="59FA4CE6" w14:textId="77777777" w:rsidR="00D937E9" w:rsidRDefault="00000000">
      <w:pPr>
        <w:spacing w:beforeLines="50" w:before="120" w:afterLines="50" w:after="120"/>
        <w:ind w:firstLineChars="600" w:firstLine="1680"/>
        <w:jc w:val="right"/>
        <w:rPr>
          <w:rFonts w:ascii="仿宋" w:hAnsi="仿宋" w:cs="仿宋" w:hint="eastAsia"/>
          <w:color w:val="333333"/>
          <w:szCs w:val="28"/>
          <w:shd w:val="clear" w:color="auto" w:fill="FFFFFF"/>
          <w:lang w:eastAsia="zh-CN"/>
        </w:rPr>
      </w:pPr>
      <w:r>
        <w:rPr>
          <w:rFonts w:ascii="仿宋" w:hAnsi="仿宋" w:cs="仿宋" w:hint="eastAsia"/>
          <w:color w:val="333333"/>
          <w:szCs w:val="28"/>
          <w:shd w:val="clear" w:color="auto" w:fill="FFFFFF"/>
          <w:lang w:eastAsia="zh-CN"/>
        </w:rPr>
        <w:t>财政部 税务总局 国家发展改革委 工业和信息化部</w:t>
      </w:r>
    </w:p>
    <w:p w14:paraId="7264F09D" w14:textId="77777777" w:rsidR="00D937E9" w:rsidRDefault="00000000">
      <w:pPr>
        <w:spacing w:beforeLines="50" w:before="120" w:afterLines="50" w:after="120"/>
        <w:ind w:firstLine="560"/>
        <w:jc w:val="right"/>
        <w:rPr>
          <w:lang w:eastAsia="zh-CN"/>
        </w:rPr>
      </w:pPr>
      <w:r>
        <w:rPr>
          <w:rFonts w:ascii="仿宋" w:hAnsi="仿宋" w:cs="仿宋" w:hint="eastAsia"/>
          <w:color w:val="333333"/>
          <w:szCs w:val="28"/>
          <w:shd w:val="clear" w:color="auto" w:fill="FFFFFF"/>
          <w:lang w:eastAsia="zh-CN"/>
        </w:rPr>
        <w:t xml:space="preserve"> 2026年7月31日</w:t>
      </w:r>
      <w:bookmarkStart w:id="48" w:name="_Toc5264"/>
    </w:p>
    <w:p w14:paraId="256FA7CE" w14:textId="77777777" w:rsidR="00D937E9" w:rsidRDefault="00000000">
      <w:pPr>
        <w:pStyle w:val="2"/>
        <w:spacing w:before="140" w:after="140" w:line="360" w:lineRule="auto"/>
        <w:ind w:firstLine="600"/>
        <w:rPr>
          <w:lang w:eastAsia="zh-CN"/>
        </w:rPr>
      </w:pPr>
      <w:bookmarkStart w:id="49" w:name="_Toc20867"/>
      <w:bookmarkEnd w:id="48"/>
      <w:r>
        <w:rPr>
          <w:rFonts w:hint="eastAsia"/>
          <w:lang w:eastAsia="zh-CN"/>
        </w:rPr>
        <w:lastRenderedPageBreak/>
        <w:t>（四）</w:t>
      </w:r>
      <w:bookmarkStart w:id="50" w:name="_Toc27260"/>
      <w:bookmarkEnd w:id="29"/>
      <w:bookmarkEnd w:id="30"/>
      <w:bookmarkEnd w:id="31"/>
      <w:bookmarkEnd w:id="32"/>
      <w:bookmarkEnd w:id="33"/>
      <w:bookmarkEnd w:id="34"/>
      <w:r>
        <w:rPr>
          <w:rFonts w:hint="eastAsia"/>
          <w:lang w:eastAsia="zh-CN"/>
        </w:rPr>
        <w:t>财政部</w:t>
      </w:r>
      <w:r>
        <w:rPr>
          <w:rFonts w:hint="eastAsia"/>
          <w:lang w:eastAsia="zh-CN"/>
        </w:rPr>
        <w:t xml:space="preserve"> </w:t>
      </w:r>
      <w:r>
        <w:rPr>
          <w:rFonts w:hint="eastAsia"/>
          <w:lang w:eastAsia="zh-CN"/>
        </w:rPr>
        <w:t>税务总局关于明确非应税交易等增值税有关事项的公告</w:t>
      </w:r>
      <w:r>
        <w:rPr>
          <w:rFonts w:hint="eastAsia"/>
          <w:lang w:eastAsia="zh-CN"/>
        </w:rPr>
        <w:t xml:space="preserve">  </w:t>
      </w:r>
      <w:r>
        <w:rPr>
          <w:rFonts w:hint="eastAsia"/>
          <w:lang w:eastAsia="zh-CN"/>
        </w:rPr>
        <w:t>财政部</w:t>
      </w:r>
      <w:r>
        <w:rPr>
          <w:rFonts w:hint="eastAsia"/>
          <w:lang w:eastAsia="zh-CN"/>
        </w:rPr>
        <w:t xml:space="preserve"> </w:t>
      </w:r>
      <w:r>
        <w:rPr>
          <w:rFonts w:hint="eastAsia"/>
          <w:lang w:eastAsia="zh-CN"/>
        </w:rPr>
        <w:t>税务总局公告</w:t>
      </w:r>
      <w:r>
        <w:rPr>
          <w:rFonts w:hint="eastAsia"/>
          <w:lang w:eastAsia="zh-CN"/>
        </w:rPr>
        <w:t>2026</w:t>
      </w:r>
      <w:r>
        <w:rPr>
          <w:rFonts w:hint="eastAsia"/>
          <w:lang w:eastAsia="zh-CN"/>
        </w:rPr>
        <w:t>年第</w:t>
      </w:r>
      <w:r>
        <w:rPr>
          <w:rFonts w:hint="eastAsia"/>
          <w:lang w:eastAsia="zh-CN"/>
        </w:rPr>
        <w:t>25</w:t>
      </w:r>
      <w:r>
        <w:rPr>
          <w:rFonts w:hint="eastAsia"/>
          <w:lang w:eastAsia="zh-CN"/>
        </w:rPr>
        <w:t>号</w:t>
      </w:r>
      <w:bookmarkEnd w:id="49"/>
    </w:p>
    <w:p w14:paraId="47854B8C"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根据《中华人民共和国增值税法》（以下简称增值税法）和《中华人民共和国增值税法实施条例》（以下简称增值税法实施条例）有关规定，现将非应税交易等增值税有关事项公告如下： </w:t>
      </w:r>
    </w:p>
    <w:p w14:paraId="5FB01F29"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一、纳税人有下列情形的，不属于增值税法实施条例第二十二条所称不得抵扣非应税交易，对应的进项税额可以按规定从销项税额中抵扣： </w:t>
      </w:r>
    </w:p>
    <w:p w14:paraId="02A857EB"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（一）作为被保险人获得保险赔付； </w:t>
      </w:r>
    </w:p>
    <w:p w14:paraId="0F4174B1"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（二）接受货币性资产或者非货币性资产捐赠； </w:t>
      </w:r>
    </w:p>
    <w:p w14:paraId="5D26651F"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（三）因合同未履行且未发生应税交易而取得违约金等收入； </w:t>
      </w:r>
    </w:p>
    <w:p w14:paraId="2502374C"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（四）无偿提供服务（不含无偿转让金融商品）； </w:t>
      </w:r>
    </w:p>
    <w:p w14:paraId="61101AB3"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（五）转让因自身发生应税交易取得的与之相关的应收账款等债权（不含有价证券）； </w:t>
      </w:r>
    </w:p>
    <w:p w14:paraId="41DD38CB"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（六）按照有关政策规定取得，且与其销售货物、服务、无形资产、不动产的收入或者数量不直接挂钩的财政补贴。 </w:t>
      </w:r>
    </w:p>
    <w:p w14:paraId="5ED88F92"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二、纳税人有下列情形的，属于增值税法实施条例第二十二条所称不得抵扣非应税交易，对应的进项税额不得从销项税额中抵扣： </w:t>
      </w:r>
    </w:p>
    <w:p w14:paraId="3508CD59"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（一）销售货物、服务、无形资产、不动产不属于增值税法第四条在境内发生应税交易所列情形的； </w:t>
      </w:r>
    </w:p>
    <w:p w14:paraId="2DBAAC18"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（二）有偿转让股权（不含有价证券）； </w:t>
      </w:r>
    </w:p>
    <w:p w14:paraId="6D68E99C"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（三）持有股权（不含有价证券）取得的股息红利和持有股份公司普通股（含有价证券）取得的股息红利； </w:t>
      </w:r>
    </w:p>
    <w:p w14:paraId="6CD6FE27"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lastRenderedPageBreak/>
        <w:t xml:space="preserve">（四）货物期货交易（不含实物交割环节）。 </w:t>
      </w:r>
    </w:p>
    <w:p w14:paraId="0EE1215F"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三、增值税扣税凭证中的农产品销售发票，是指农业生产者销售自产农产品适用免征增值税政策而开具的普通发票。 </w:t>
      </w:r>
    </w:p>
    <w:p w14:paraId="6DC9EF15"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四、免征增值税政策中的技工学校、高级技工学校、技师学院，包括经省级及以上人力资源社会保障行政部门批准成立的技工学校、高级技工学校，经省级人民政府批准成立的技师学院，以及其他依据有关规定设立的技工学校、高级技工学校、技师学院。 </w:t>
      </w:r>
    </w:p>
    <w:p w14:paraId="76E5F3F5"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五、免征增值税政策中的第一道门票收入，是指观众进入首道大门收取的门票收入，不包括在场馆内部特定区域举办特别展览、专场演出、临时活动等收取的门票收入。 </w:t>
      </w:r>
    </w:p>
    <w:p w14:paraId="6ECCFD9B"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六、按照有关规定不征收增值税的资产重组业务，资产重组的接收方再转让资产重组涉及的金融商品，买入价以资产重组转让方的买入价确定。 </w:t>
      </w:r>
    </w:p>
    <w:p w14:paraId="492A0A09"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七、《财政部 税务总局关于增值税法施行后增值税优惠政策衔接事项的公告》（财政部 税务总局公告2026年第10号）中取得的不动产和土地使用权，包括以直接购买、接受捐赠、接受投资入股、自建、抵债、资产重组等各种形式取得的不动产、土地使用权。 </w:t>
      </w:r>
    </w:p>
    <w:p w14:paraId="6CCFD64E"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八、一般纳税人选择放弃增值税优惠的，应当以书面形式提交放弃增值税优惠声明，并注明放弃优惠的起始时间，报主管税务机关备案。 </w:t>
      </w:r>
    </w:p>
    <w:p w14:paraId="7C5D62C5"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九、纳税人销售电信服务时，附带赠送用户识别卡、电信终端等货物，应将其取得的全部价款进行分别核算，按照各自适用的税率计算缴纳增值税。 </w:t>
      </w:r>
    </w:p>
    <w:p w14:paraId="25A32A43"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十、纳税人发生应税交易，将价款和折扣额在同一张发票的“金额”栏上分别注明的，以折扣后的不含税价款为销售额；未在同一张发</w:t>
      </w:r>
      <w:r>
        <w:rPr>
          <w:rFonts w:ascii="仿宋" w:hAnsi="仿宋" w:cs="仿宋" w:hint="eastAsia"/>
          <w:color w:val="333333"/>
          <w:sz w:val="28"/>
          <w:szCs w:val="28"/>
          <w:shd w:val="clear" w:color="auto" w:fill="FFFFFF"/>
        </w:rPr>
        <w:lastRenderedPageBreak/>
        <w:t xml:space="preserve">票的“金额”栏上分别注明的，以不含税价款为销售额，不得扣减折扣额。 </w:t>
      </w:r>
    </w:p>
    <w:p w14:paraId="7F990834"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十一、本公告自2026年9月1日起施行。《财政部 国家税务总局关于增值税纳税人放弃免税权有关问题的通知》（财税〔2007〕127号）第一条等文件规定同时废止，具体见附件。2026年1月1日至2026年8月31日期间已发生未处理的事项，按照本公告规定执行。 </w:t>
      </w:r>
    </w:p>
    <w:p w14:paraId="2CDCB81D"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 xml:space="preserve">特此公告。 </w:t>
      </w:r>
    </w:p>
    <w:p w14:paraId="2A9008E1" w14:textId="77777777" w:rsidR="00D937E9" w:rsidRDefault="00000000">
      <w:pPr>
        <w:pStyle w:val="aa"/>
        <w:spacing w:beforeLines="50" w:before="120" w:beforeAutospacing="0" w:afterLines="50" w:after="120" w:afterAutospacing="0" w:line="360" w:lineRule="auto"/>
        <w:ind w:firstLine="560"/>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附件：废止文件和条款目录</w:t>
      </w:r>
    </w:p>
    <w:p w14:paraId="72B15921" w14:textId="77777777" w:rsidR="00D937E9"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财政部 税务总局</w:t>
      </w:r>
    </w:p>
    <w:p w14:paraId="18B54C70" w14:textId="77777777" w:rsidR="00D937E9"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2026年8月27日</w:t>
      </w:r>
    </w:p>
    <w:p w14:paraId="7E422B7E" w14:textId="77777777" w:rsidR="00D937E9" w:rsidRDefault="00D937E9">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p>
    <w:p w14:paraId="4B8B7390" w14:textId="77777777" w:rsidR="00D937E9" w:rsidRDefault="00000000">
      <w:pPr>
        <w:pStyle w:val="2"/>
        <w:spacing w:before="140" w:after="140" w:line="360" w:lineRule="auto"/>
        <w:ind w:firstLine="600"/>
        <w:rPr>
          <w:lang w:eastAsia="zh-CN"/>
        </w:rPr>
      </w:pPr>
      <w:bookmarkStart w:id="51" w:name="_Toc25701"/>
      <w:r>
        <w:rPr>
          <w:rFonts w:hint="eastAsia"/>
          <w:lang w:eastAsia="zh-CN"/>
        </w:rPr>
        <w:t>（五）财政部</w:t>
      </w:r>
      <w:r>
        <w:rPr>
          <w:rFonts w:hint="eastAsia"/>
          <w:lang w:eastAsia="zh-CN"/>
        </w:rPr>
        <w:t xml:space="preserve"> </w:t>
      </w:r>
      <w:r>
        <w:rPr>
          <w:rFonts w:hint="eastAsia"/>
          <w:lang w:eastAsia="zh-CN"/>
        </w:rPr>
        <w:t>税务总局</w:t>
      </w:r>
      <w:r>
        <w:rPr>
          <w:rFonts w:hint="eastAsia"/>
          <w:lang w:eastAsia="zh-CN"/>
        </w:rPr>
        <w:t xml:space="preserve"> </w:t>
      </w:r>
      <w:r>
        <w:rPr>
          <w:rFonts w:hint="eastAsia"/>
          <w:lang w:eastAsia="zh-CN"/>
        </w:rPr>
        <w:t>中国证监会关于规范转让上市公司限售股个人所得税政策的公告</w:t>
      </w:r>
      <w:r>
        <w:rPr>
          <w:rFonts w:hint="eastAsia"/>
          <w:lang w:eastAsia="zh-CN"/>
        </w:rPr>
        <w:t xml:space="preserve">    </w:t>
      </w:r>
      <w:r>
        <w:rPr>
          <w:rFonts w:hint="eastAsia"/>
          <w:lang w:eastAsia="zh-CN"/>
        </w:rPr>
        <w:t>财政部</w:t>
      </w:r>
      <w:r>
        <w:rPr>
          <w:rFonts w:hint="eastAsia"/>
          <w:lang w:eastAsia="zh-CN"/>
        </w:rPr>
        <w:t xml:space="preserve"> </w:t>
      </w:r>
      <w:r>
        <w:rPr>
          <w:rFonts w:hint="eastAsia"/>
          <w:lang w:eastAsia="zh-CN"/>
        </w:rPr>
        <w:t>税务总局</w:t>
      </w:r>
      <w:r>
        <w:rPr>
          <w:rFonts w:hint="eastAsia"/>
          <w:lang w:eastAsia="zh-CN"/>
        </w:rPr>
        <w:t xml:space="preserve"> </w:t>
      </w:r>
      <w:r>
        <w:rPr>
          <w:rFonts w:hint="eastAsia"/>
          <w:lang w:eastAsia="zh-CN"/>
        </w:rPr>
        <w:t>中国证监会公告</w:t>
      </w:r>
      <w:r>
        <w:rPr>
          <w:rFonts w:hint="eastAsia"/>
          <w:lang w:eastAsia="zh-CN"/>
        </w:rPr>
        <w:t>2026</w:t>
      </w:r>
      <w:r>
        <w:rPr>
          <w:rFonts w:hint="eastAsia"/>
          <w:lang w:eastAsia="zh-CN"/>
        </w:rPr>
        <w:t>年第</w:t>
      </w:r>
      <w:r>
        <w:rPr>
          <w:rFonts w:hint="eastAsia"/>
          <w:lang w:eastAsia="zh-CN"/>
        </w:rPr>
        <w:t>26</w:t>
      </w:r>
      <w:r>
        <w:rPr>
          <w:rFonts w:hint="eastAsia"/>
          <w:lang w:eastAsia="zh-CN"/>
        </w:rPr>
        <w:t>号</w:t>
      </w:r>
      <w:bookmarkEnd w:id="51"/>
    </w:p>
    <w:p w14:paraId="3FDD3FA4"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为规范转让上市公司限售股个人所得税政策，现将有关事项公告如下：</w:t>
      </w:r>
    </w:p>
    <w:p w14:paraId="25DF58BC"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一、个人转让上市公司限售股取得的所得，按照“财产转让所得”，适用20%税率缴纳个人所得税。本公告所称限售股包括《财政部 国家税务总局 证监会关于个人转让上市公司限售股所得征收个人所得税有关问题的通知》（财税〔2009〕167号）第二条规定的限售股，以及其在解禁日后孳生且在本公告实施后办理股权登记的送、转股。</w:t>
      </w:r>
    </w:p>
    <w:p w14:paraId="045BFC31"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限售股发生送、转、缩股的，证券登记结算公司应当依据送、转、缩股比例对限售股成本原值进行调整。</w:t>
      </w:r>
    </w:p>
    <w:p w14:paraId="57E699BF"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lastRenderedPageBreak/>
        <w:t>二、上市公司应当按照《财政部 国家税务总局关于证券机构技术和制度准备完成后个人转让上市公司限售股有关个人所得税问题的通知》（财税〔2011〕108号）规定，在向证券登记结算公司申请办理股份初始登记时，申报由个人限售股股东提供的有关限售股成本原值详细资料，以及会计师事务所、税务师事务所等中介机构对该资料出具的鉴证报告。</w:t>
      </w:r>
    </w:p>
    <w:p w14:paraId="44A52C32"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本公告实施后，上市公司申请办理股份初始登记时未按规定申报限售股成本原值的，个人转让限售股时，证券机构按照限售股转让收入全额，适用20%税率，计算预扣预缴个人所得税。预扣预缴税款后，纳税人可按照本公告第三条规定办理清算申报。</w:t>
      </w:r>
    </w:p>
    <w:p w14:paraId="0F9D6504"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本公告实施前，上市公司已办理完成股份初始登记且未申报限售股成本原值的，在本公告实施后，个人转让限售股时，证券机构预扣预缴个人所得税，可按照限售股转让收入的15%核定成本原值及合理税费。预扣预缴税款后，纳税人应当按照本公告第三条规定办理清算申报。</w:t>
      </w:r>
    </w:p>
    <w:p w14:paraId="2438FEAE"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三、纳税人按照限售股实际转让收入与实际成本计算出的应纳税额，大于证券机构已扣缴税额的，或者小于证券机构已扣缴税额且申请退税的，应当在转让限售股次年6月30日前，向主管税务机关提供限售股成本原值等相关资料并办理清算申报，多退少补税款。</w:t>
      </w:r>
    </w:p>
    <w:p w14:paraId="398F23D7"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四、本公告所称上市公司是指其股票在上海证券交易所、深圳证券交易所上市交易的股份有限公司。</w:t>
      </w:r>
    </w:p>
    <w:p w14:paraId="435EC5A6"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五、个人转让全国中小企业股份转让系统挂牌公司（以下称挂牌公司）、北京证券交易所上市公司原始股缴纳个人所得税，依照本公告规定执行。</w:t>
      </w:r>
    </w:p>
    <w:p w14:paraId="25D14347"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本公告实施前，挂牌公司已办理初始登记且未申报成本原值的原始股，在本公告实施后，通过公开发行进入北京证券交易所上市交易的，证券机构预扣预缴个人所得税，可按照原始股转让收入的15%核定成本原</w:t>
      </w:r>
      <w:r>
        <w:rPr>
          <w:rFonts w:ascii="仿宋" w:hAnsi="仿宋" w:cs="仿宋" w:hint="eastAsia"/>
          <w:color w:val="333333"/>
          <w:sz w:val="28"/>
          <w:szCs w:val="28"/>
          <w:shd w:val="clear" w:color="auto" w:fill="FFFFFF"/>
        </w:rPr>
        <w:lastRenderedPageBreak/>
        <w:t>值及合理税费。预扣预缴税款后，纳税人应当按照本公告第三条规定办理清算申报。</w:t>
      </w:r>
    </w:p>
    <w:p w14:paraId="680EC9B1"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六、本公告自公布之日起实施，此前规定与本公告规定不一致的，按本公告规定执行。</w:t>
      </w:r>
    </w:p>
    <w:p w14:paraId="1A5C6F68" w14:textId="77777777" w:rsidR="00D937E9" w:rsidRDefault="00000000">
      <w:pPr>
        <w:pStyle w:val="aa"/>
        <w:spacing w:beforeLines="50" w:before="120" w:beforeAutospacing="0" w:afterLines="50" w:after="120" w:afterAutospacing="0" w:line="360" w:lineRule="auto"/>
        <w:ind w:firstLine="560"/>
        <w:jc w:val="both"/>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特此公告。</w:t>
      </w:r>
    </w:p>
    <w:p w14:paraId="672AB608" w14:textId="77777777" w:rsidR="00D937E9"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财政部 税务总局 中国证监会</w:t>
      </w:r>
    </w:p>
    <w:p w14:paraId="6C963528" w14:textId="77777777" w:rsidR="00D937E9"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hint="eastAsia"/>
          <w:color w:val="333333"/>
          <w:sz w:val="28"/>
          <w:szCs w:val="28"/>
          <w:shd w:val="clear" w:color="auto" w:fill="FFFFFF"/>
        </w:rPr>
        <w:t>2026年8月28日</w:t>
      </w:r>
    </w:p>
    <w:p w14:paraId="59824115" w14:textId="77777777" w:rsidR="00D937E9" w:rsidRDefault="00D937E9">
      <w:pPr>
        <w:pStyle w:val="1"/>
        <w:ind w:firstLine="640"/>
        <w:rPr>
          <w:rFonts w:hint="eastAsia"/>
        </w:rPr>
      </w:pPr>
      <w:bookmarkStart w:id="52" w:name="_Toc9834"/>
      <w:bookmarkStart w:id="53" w:name="_Toc1712"/>
      <w:bookmarkStart w:id="54" w:name="_Toc31368"/>
      <w:bookmarkStart w:id="55" w:name="_Toc20258"/>
      <w:bookmarkStart w:id="56" w:name="_Toc1514"/>
      <w:bookmarkStart w:id="57" w:name="_Toc26037"/>
      <w:bookmarkEnd w:id="50"/>
    </w:p>
    <w:p w14:paraId="75079EB6" w14:textId="77777777" w:rsidR="00D937E9" w:rsidRDefault="00000000">
      <w:pPr>
        <w:pStyle w:val="1"/>
        <w:ind w:firstLine="640"/>
        <w:rPr>
          <w:rFonts w:hint="eastAsia"/>
        </w:rPr>
      </w:pPr>
      <w:bookmarkStart w:id="58" w:name="_Toc18572"/>
      <w:r>
        <w:rPr>
          <w:rFonts w:hint="eastAsia"/>
        </w:rPr>
        <w:t>四、典型税案</w:t>
      </w:r>
      <w:bookmarkEnd w:id="52"/>
      <w:bookmarkEnd w:id="53"/>
      <w:bookmarkEnd w:id="54"/>
      <w:bookmarkEnd w:id="55"/>
      <w:bookmarkEnd w:id="56"/>
      <w:bookmarkEnd w:id="57"/>
      <w:bookmarkEnd w:id="58"/>
    </w:p>
    <w:p w14:paraId="4060B563" w14:textId="77777777" w:rsidR="00D937E9" w:rsidRDefault="00000000">
      <w:pPr>
        <w:pStyle w:val="2"/>
        <w:spacing w:before="140" w:after="140" w:line="360" w:lineRule="auto"/>
        <w:ind w:firstLine="600"/>
        <w:rPr>
          <w:lang w:eastAsia="zh-CN"/>
        </w:rPr>
      </w:pPr>
      <w:bookmarkStart w:id="59" w:name="_Toc10724"/>
      <w:r>
        <w:rPr>
          <w:rFonts w:hint="eastAsia"/>
          <w:lang w:eastAsia="zh-CN"/>
        </w:rPr>
        <w:t>（一）私户收款偷逃税终被查——还原哈尔滨市呼兰区康金金汇加油站偷逃税真相</w:t>
      </w:r>
      <w:bookmarkEnd w:id="59"/>
    </w:p>
    <w:p w14:paraId="591B67D0" w14:textId="77777777" w:rsidR="00D937E9" w:rsidRDefault="00000000">
      <w:pPr>
        <w:pStyle w:val="a3"/>
        <w:ind w:firstLine="560"/>
        <w:rPr>
          <w:rFonts w:hint="eastAsia"/>
          <w:lang w:eastAsia="zh-CN"/>
        </w:rPr>
      </w:pPr>
      <w:r>
        <w:rPr>
          <w:rFonts w:hint="eastAsia"/>
          <w:lang w:eastAsia="zh-CN"/>
        </w:rPr>
        <w:t>近期，国家税务总局哈尔滨市税务局第二稽查局依法查处了哈尔滨市呼兰区康金金汇加油站（以下简称“金汇加油站”）偷税案件。经查，2022年至2024年，该加油站通过使用第三方软件绑定个人账户收款、进行虚假纳税申报等方式隐匿收入，少缴增值税、企业所得税等税费共计195万元。2025年9月，国家税务总局哈尔滨市税务局第二稽查局依法对其作出追缴税费款、加收滞纳金并处罚款共计325万元的处理处罚决定。目前，涉案税费款、滞纳金及罚款均已追缴入库。</w:t>
      </w:r>
    </w:p>
    <w:p w14:paraId="0B6A7008" w14:textId="77777777" w:rsidR="00D937E9" w:rsidRDefault="00000000">
      <w:pPr>
        <w:pStyle w:val="a3"/>
        <w:ind w:firstLine="562"/>
        <w:rPr>
          <w:rFonts w:hint="eastAsia"/>
          <w:b/>
          <w:bCs/>
          <w:lang w:eastAsia="zh-CN"/>
        </w:rPr>
      </w:pPr>
      <w:r>
        <w:rPr>
          <w:rFonts w:hint="eastAsia"/>
          <w:b/>
          <w:bCs/>
          <w:lang w:eastAsia="zh-CN"/>
        </w:rPr>
        <w:t>数据反差疑点重重</w:t>
      </w:r>
    </w:p>
    <w:p w14:paraId="0D5891BD" w14:textId="77777777" w:rsidR="00D937E9" w:rsidRDefault="00000000">
      <w:pPr>
        <w:pStyle w:val="a3"/>
        <w:ind w:firstLine="560"/>
        <w:rPr>
          <w:rFonts w:hint="eastAsia"/>
          <w:lang w:eastAsia="zh-CN"/>
        </w:rPr>
      </w:pPr>
      <w:r>
        <w:rPr>
          <w:rFonts w:hint="eastAsia"/>
          <w:lang w:eastAsia="zh-CN"/>
        </w:rPr>
        <w:t>前期，国家税务总局哈尔滨市税务局第二稽查局接到相关部门移送线索反映，哈尔滨市呼兰区康金金汇加油站存在隐匿收入的嫌疑。</w:t>
      </w:r>
    </w:p>
    <w:p w14:paraId="19DBC74B" w14:textId="77777777" w:rsidR="00D937E9" w:rsidRDefault="00000000">
      <w:pPr>
        <w:pStyle w:val="a3"/>
        <w:ind w:firstLine="560"/>
        <w:rPr>
          <w:rFonts w:hint="eastAsia"/>
          <w:lang w:eastAsia="zh-CN"/>
        </w:rPr>
      </w:pPr>
      <w:r>
        <w:rPr>
          <w:rFonts w:hint="eastAsia"/>
          <w:lang w:eastAsia="zh-CN"/>
        </w:rPr>
        <w:t>检查人员通过税收大数据分析发现，哈尔滨市呼兰区康金金汇加油站地处繁华地带，车流量较大，但申报收入却低于同规模加油站。不仅如此，该加油站消费群体多为个人车主，一般不会主动索要发票，按行</w:t>
      </w:r>
      <w:r>
        <w:rPr>
          <w:rFonts w:hint="eastAsia"/>
          <w:lang w:eastAsia="zh-CN"/>
        </w:rPr>
        <w:lastRenderedPageBreak/>
        <w:t>业经营特点，未开票收入占比应当较高，远低于开票收入，和行业常规情况不符。</w:t>
      </w:r>
    </w:p>
    <w:p w14:paraId="1F79549A" w14:textId="77777777" w:rsidR="00D937E9" w:rsidRDefault="00000000">
      <w:pPr>
        <w:pStyle w:val="a3"/>
        <w:ind w:firstLine="560"/>
        <w:rPr>
          <w:rFonts w:hint="eastAsia"/>
          <w:lang w:eastAsia="zh-CN"/>
        </w:rPr>
      </w:pPr>
      <w:r>
        <w:rPr>
          <w:rFonts w:hint="eastAsia"/>
          <w:lang w:eastAsia="zh-CN"/>
        </w:rPr>
        <w:t>基于上述疑点，国家税务总局哈尔滨市税务局第二稽查局依法对哈尔滨市呼兰区康金金汇加油站立案检查。</w:t>
      </w:r>
    </w:p>
    <w:p w14:paraId="0CAF4EF2" w14:textId="77777777" w:rsidR="00D937E9" w:rsidRDefault="00000000">
      <w:pPr>
        <w:pStyle w:val="a3"/>
        <w:ind w:firstLine="562"/>
        <w:rPr>
          <w:rFonts w:hint="eastAsia"/>
          <w:b/>
          <w:bCs/>
          <w:lang w:eastAsia="zh-CN"/>
        </w:rPr>
      </w:pPr>
      <w:r>
        <w:rPr>
          <w:rFonts w:hint="eastAsia"/>
          <w:b/>
          <w:bCs/>
          <w:lang w:eastAsia="zh-CN"/>
        </w:rPr>
        <w:t>偷税行径现端倪</w:t>
      </w:r>
    </w:p>
    <w:p w14:paraId="3C7459D4" w14:textId="77777777" w:rsidR="00D937E9" w:rsidRDefault="00000000">
      <w:pPr>
        <w:pStyle w:val="a3"/>
        <w:ind w:firstLine="560"/>
        <w:rPr>
          <w:rFonts w:hint="eastAsia"/>
          <w:lang w:eastAsia="zh-CN"/>
        </w:rPr>
      </w:pPr>
      <w:r>
        <w:rPr>
          <w:rFonts w:hint="eastAsia"/>
          <w:lang w:eastAsia="zh-CN"/>
        </w:rPr>
        <w:t>随即，检查人员前往该加油站进行实地检查，依法调取了公司账簿与经营记录。在市场监督管理部门配合下，检查人员现场调取2022-2024期间的油品购入记录，发现该加油站液位仪记载成品油购入数据250余万升，与企业自行提供的成品油购入数据91万余升不符。两组数据差距很大，企业虚假申报的嫌疑进一步上升。</w:t>
      </w:r>
    </w:p>
    <w:p w14:paraId="56A6F188" w14:textId="77777777" w:rsidR="00D937E9" w:rsidRDefault="00000000">
      <w:pPr>
        <w:pStyle w:val="a3"/>
        <w:ind w:firstLine="560"/>
        <w:rPr>
          <w:rFonts w:hint="eastAsia"/>
          <w:lang w:eastAsia="zh-CN"/>
        </w:rPr>
      </w:pPr>
      <w:r>
        <w:rPr>
          <w:rFonts w:hint="eastAsia"/>
          <w:lang w:eastAsia="zh-CN"/>
        </w:rPr>
        <w:t>与此同时，检查人员留意到，该加油站缴纳税款的资金均来自多张个人银行卡，并非企业对公账户。检查人员判断，加油站很可能通过多个私人账户收取油款，以此隐瞒真实收入。</w:t>
      </w:r>
    </w:p>
    <w:p w14:paraId="5D8CCE3D" w14:textId="77777777" w:rsidR="00D937E9" w:rsidRDefault="00000000">
      <w:pPr>
        <w:pStyle w:val="a3"/>
        <w:ind w:firstLine="560"/>
        <w:rPr>
          <w:rFonts w:hint="eastAsia"/>
          <w:lang w:eastAsia="zh-CN"/>
        </w:rPr>
      </w:pPr>
      <w:r>
        <w:rPr>
          <w:rFonts w:hint="eastAsia"/>
          <w:lang w:eastAsia="zh-CN"/>
        </w:rPr>
        <w:t>大量加油款项究竟流向何处？检查人员依法调取加油站法定代表人吴祥臣、财务负责人、实际经营者等人的个人账户银行流水，逐条开展资金交叉比对,最终还原金汇加油站偷税真相。自2022年起，吴祥臣通过微信、第三方软件绑定私人账户收取油款，油品购销实行体外循环，购进油品不索取发票、对外销售不开具发票，依靠上述方式隐瞒收入偷逃税款。</w:t>
      </w:r>
    </w:p>
    <w:p w14:paraId="7DD0E036" w14:textId="77777777" w:rsidR="00D937E9" w:rsidRDefault="00000000">
      <w:pPr>
        <w:pStyle w:val="a3"/>
        <w:ind w:firstLine="562"/>
        <w:rPr>
          <w:rFonts w:hint="eastAsia"/>
          <w:b/>
          <w:bCs/>
          <w:lang w:eastAsia="zh-CN"/>
        </w:rPr>
      </w:pPr>
      <w:r>
        <w:rPr>
          <w:rFonts w:hint="eastAsia"/>
          <w:b/>
          <w:bCs/>
          <w:lang w:eastAsia="zh-CN"/>
        </w:rPr>
        <w:t>依法查处违法企业</w:t>
      </w:r>
    </w:p>
    <w:p w14:paraId="51366097" w14:textId="77777777" w:rsidR="00D937E9" w:rsidRDefault="00000000">
      <w:pPr>
        <w:pStyle w:val="a3"/>
        <w:ind w:firstLine="560"/>
        <w:rPr>
          <w:rFonts w:hint="eastAsia"/>
          <w:lang w:eastAsia="zh-CN"/>
        </w:rPr>
      </w:pPr>
      <w:r>
        <w:rPr>
          <w:rFonts w:hint="eastAsia"/>
          <w:lang w:eastAsia="zh-CN"/>
        </w:rPr>
        <w:t>在证据面前，吴祥臣承认，其通过使用第三方软件绑定个人账户收款、进行虚假纳税申报等方式隐匿收入，以达到少缴增值税、企业所得税的目的。</w:t>
      </w:r>
    </w:p>
    <w:p w14:paraId="2E246D21" w14:textId="77777777" w:rsidR="00D937E9" w:rsidRDefault="00000000">
      <w:pPr>
        <w:pStyle w:val="a3"/>
        <w:ind w:firstLine="560"/>
        <w:rPr>
          <w:rFonts w:hint="eastAsia"/>
          <w:lang w:eastAsia="zh-CN"/>
        </w:rPr>
      </w:pPr>
      <w:r>
        <w:rPr>
          <w:rFonts w:hint="eastAsia"/>
          <w:lang w:eastAsia="zh-CN"/>
        </w:rPr>
        <w:t>经查实，2022年至2024年，该加油站共计隐匿收入1145.43万元，这部分收入没有入账，也没有申报纳税，少缴增值税、企业所得税等税费共计195万元。</w:t>
      </w:r>
    </w:p>
    <w:p w14:paraId="467B5086" w14:textId="77777777" w:rsidR="00D937E9" w:rsidRDefault="00000000">
      <w:pPr>
        <w:pStyle w:val="a3"/>
        <w:ind w:firstLine="560"/>
        <w:rPr>
          <w:rFonts w:hint="eastAsia"/>
          <w:lang w:eastAsia="zh-CN"/>
        </w:rPr>
      </w:pPr>
      <w:r>
        <w:rPr>
          <w:rFonts w:hint="eastAsia"/>
          <w:lang w:eastAsia="zh-CN"/>
        </w:rPr>
        <w:lastRenderedPageBreak/>
        <w:t>根据《中华人民共和国税收征收管理法》第六十三条第一款规定：纳税人伪造、变造、隐匿、擅自销毁账簿、记账凭证，或者在账簿上多列支出或者不列、少列收入，或者经税务机关通知申报而拒不申报或者进行虚假的纳税申报，不缴或者少缴应纳税款的，是偷税。对纳税人偷税的，由税务机关追缴其不缴或者少缴的税款、滞纳金，并处不缴或者少缴的税款百分之五十以上五倍以下的罚款；构成犯罪的，依法追究刑事责任。</w:t>
      </w:r>
    </w:p>
    <w:p w14:paraId="03CCEDBD" w14:textId="77777777" w:rsidR="00D937E9" w:rsidRDefault="00000000">
      <w:pPr>
        <w:pStyle w:val="a3"/>
        <w:ind w:firstLine="560"/>
        <w:rPr>
          <w:rFonts w:hint="eastAsia"/>
          <w:lang w:eastAsia="zh-CN"/>
        </w:rPr>
      </w:pPr>
      <w:r>
        <w:rPr>
          <w:rFonts w:hint="eastAsia"/>
          <w:lang w:eastAsia="zh-CN"/>
        </w:rPr>
        <w:t>针对其违法行为，2025年9月，国家税务总局哈尔滨市税务局第二稽查局依法对其作出追缴税费款、加收滞纳金并处罚款共计325万元的处理处罚决定。目前，涉案税费款、滞纳金及罚款均已追缴入库。。</w:t>
      </w:r>
    </w:p>
    <w:p w14:paraId="67C922F5" w14:textId="77777777" w:rsidR="00D937E9" w:rsidRDefault="00000000">
      <w:pPr>
        <w:pStyle w:val="a3"/>
        <w:ind w:firstLine="560"/>
        <w:jc w:val="right"/>
        <w:rPr>
          <w:rFonts w:hint="eastAsia"/>
          <w:lang w:eastAsia="zh-CN"/>
        </w:rPr>
      </w:pPr>
      <w:r>
        <w:rPr>
          <w:rFonts w:hint="eastAsia"/>
          <w:lang w:eastAsia="zh-CN"/>
        </w:rPr>
        <w:t>来源：国家税务总局黑龙江省税务局</w:t>
      </w:r>
    </w:p>
    <w:p w14:paraId="2A4EECCB" w14:textId="77777777" w:rsidR="00D937E9" w:rsidRDefault="00000000">
      <w:pPr>
        <w:pStyle w:val="a3"/>
        <w:ind w:firstLine="560"/>
        <w:jc w:val="right"/>
        <w:rPr>
          <w:rFonts w:hint="eastAsia"/>
          <w:lang w:eastAsia="zh-CN"/>
        </w:rPr>
      </w:pPr>
      <w:r>
        <w:rPr>
          <w:rFonts w:hint="eastAsia"/>
          <w:lang w:eastAsia="zh-CN"/>
        </w:rPr>
        <w:t>时间：2026-08-15</w:t>
      </w:r>
    </w:p>
    <w:p w14:paraId="30DEEEC8" w14:textId="77777777" w:rsidR="00D937E9" w:rsidRDefault="00000000">
      <w:pPr>
        <w:pStyle w:val="2"/>
        <w:spacing w:before="140" w:after="140" w:line="360" w:lineRule="auto"/>
        <w:ind w:firstLine="600"/>
        <w:rPr>
          <w:lang w:eastAsia="zh-CN"/>
        </w:rPr>
      </w:pPr>
      <w:bookmarkStart w:id="60" w:name="_Toc28643"/>
      <w:r>
        <w:rPr>
          <w:rFonts w:hint="eastAsia"/>
          <w:lang w:eastAsia="zh-CN"/>
        </w:rPr>
        <w:t>（二）税务部门公布</w:t>
      </w:r>
      <w:r>
        <w:rPr>
          <w:rFonts w:hint="eastAsia"/>
          <w:lang w:eastAsia="zh-CN"/>
        </w:rPr>
        <w:t>3</w:t>
      </w:r>
      <w:r>
        <w:rPr>
          <w:rFonts w:hint="eastAsia"/>
          <w:lang w:eastAsia="zh-CN"/>
        </w:rPr>
        <w:t>起税务人员与不法分子内外勾结被查处案件</w:t>
      </w:r>
      <w:bookmarkEnd w:id="60"/>
    </w:p>
    <w:p w14:paraId="737B299F" w14:textId="77777777" w:rsidR="00D937E9" w:rsidRDefault="00000000">
      <w:pPr>
        <w:spacing w:line="360" w:lineRule="auto"/>
        <w:ind w:firstLine="560"/>
        <w:rPr>
          <w:lang w:eastAsia="zh-CN"/>
        </w:rPr>
      </w:pPr>
      <w:r>
        <w:rPr>
          <w:rFonts w:hint="eastAsia"/>
          <w:lang w:eastAsia="zh-CN"/>
        </w:rPr>
        <w:t>近年来，税务部门在依法查处涉税违法犯罪行为的同时，严肃查处税务人员与不法分子内外勾结、通同作弊骗取国家税款等违纪违法行为。现公布</w:t>
      </w:r>
      <w:r>
        <w:rPr>
          <w:rFonts w:hint="eastAsia"/>
          <w:lang w:eastAsia="zh-CN"/>
        </w:rPr>
        <w:t>3</w:t>
      </w:r>
      <w:r>
        <w:rPr>
          <w:rFonts w:hint="eastAsia"/>
          <w:lang w:eastAsia="zh-CN"/>
        </w:rPr>
        <w:t>起相关案件，分别是：</w:t>
      </w:r>
    </w:p>
    <w:p w14:paraId="56F8B717" w14:textId="77777777" w:rsidR="00D937E9" w:rsidRDefault="00000000">
      <w:pPr>
        <w:spacing w:line="360" w:lineRule="auto"/>
        <w:ind w:firstLine="560"/>
        <w:rPr>
          <w:lang w:eastAsia="zh-CN"/>
        </w:rPr>
      </w:pPr>
      <w:r>
        <w:rPr>
          <w:rFonts w:hint="eastAsia"/>
          <w:lang w:eastAsia="zh-CN"/>
        </w:rPr>
        <w:t>一、河北省税务部门查处一名税务人员违规收受房产中介财物、违规减免税款等问题。经查，廊坊市三河市税务局第一税务分局兰志伟在办理二手房交易涉税业务过程中，接受不良房产中介人员请托，利用职务便利，通过违规减免增值税、指导商铺评估价格等方式为他人谋取利益，并多次收受相关人员财物。税务部门依据《中国共产党纪律处分条例》《中华人民共和国公职人员政务处分法》等有关规定，给予兰志伟开除党籍、开除公职处分，同时对涉案经营主体依法查处，挽回税款损失</w:t>
      </w:r>
      <w:r>
        <w:rPr>
          <w:rFonts w:hint="eastAsia"/>
          <w:lang w:eastAsia="zh-CN"/>
        </w:rPr>
        <w:t>118</w:t>
      </w:r>
      <w:r>
        <w:rPr>
          <w:rFonts w:hint="eastAsia"/>
          <w:lang w:eastAsia="zh-CN"/>
        </w:rPr>
        <w:t>万余元。</w:t>
      </w:r>
      <w:r>
        <w:rPr>
          <w:rFonts w:hint="eastAsia"/>
          <w:lang w:eastAsia="zh-CN"/>
        </w:rPr>
        <w:t>2025</w:t>
      </w:r>
      <w:r>
        <w:rPr>
          <w:rFonts w:hint="eastAsia"/>
          <w:lang w:eastAsia="zh-CN"/>
        </w:rPr>
        <w:t>年</w:t>
      </w:r>
      <w:r>
        <w:rPr>
          <w:rFonts w:hint="eastAsia"/>
          <w:lang w:eastAsia="zh-CN"/>
        </w:rPr>
        <w:t>9</w:t>
      </w:r>
      <w:r>
        <w:rPr>
          <w:rFonts w:hint="eastAsia"/>
          <w:lang w:eastAsia="zh-CN"/>
        </w:rPr>
        <w:t>月，兰志伟因犯受贿罪被判处有期徒刑三年四个月，并处罚金</w:t>
      </w:r>
      <w:r>
        <w:rPr>
          <w:rFonts w:hint="eastAsia"/>
          <w:lang w:eastAsia="zh-CN"/>
        </w:rPr>
        <w:t>20</w:t>
      </w:r>
      <w:r>
        <w:rPr>
          <w:rFonts w:hint="eastAsia"/>
          <w:lang w:eastAsia="zh-CN"/>
        </w:rPr>
        <w:t>万元。</w:t>
      </w:r>
    </w:p>
    <w:p w14:paraId="1E94D0CA" w14:textId="77777777" w:rsidR="00D937E9" w:rsidRDefault="00000000">
      <w:pPr>
        <w:spacing w:line="360" w:lineRule="auto"/>
        <w:ind w:firstLine="560"/>
        <w:rPr>
          <w:lang w:eastAsia="zh-CN"/>
        </w:rPr>
      </w:pPr>
      <w:r>
        <w:rPr>
          <w:rFonts w:hint="eastAsia"/>
          <w:lang w:eastAsia="zh-CN"/>
        </w:rPr>
        <w:lastRenderedPageBreak/>
        <w:t>二、江苏省税务部门查处一名税务人员违规收受涉税中介财物等问题。经查，常州市天宁区税务局祁文相与不良涉税中介勾连勾兑，接受涉税中介人员请托，利用职务之便，在涉税业务承揽、土地增值税清算等方面为他人谋取利益，并多次收受相关人员现金、消费卡等财物。税务部门依据《中国共产党纪律处分条例》《中华人民共和国公职人员政务处分法》等有关规定，给予祁文相开除党籍、开除公职处分。</w:t>
      </w:r>
      <w:r>
        <w:rPr>
          <w:rFonts w:hint="eastAsia"/>
          <w:lang w:eastAsia="zh-CN"/>
        </w:rPr>
        <w:t>2025</w:t>
      </w:r>
      <w:r>
        <w:rPr>
          <w:rFonts w:hint="eastAsia"/>
          <w:lang w:eastAsia="zh-CN"/>
        </w:rPr>
        <w:t>年</w:t>
      </w:r>
      <w:r>
        <w:rPr>
          <w:rFonts w:hint="eastAsia"/>
          <w:lang w:eastAsia="zh-CN"/>
        </w:rPr>
        <w:t>11</w:t>
      </w:r>
      <w:r>
        <w:rPr>
          <w:rFonts w:hint="eastAsia"/>
          <w:lang w:eastAsia="zh-CN"/>
        </w:rPr>
        <w:t>月，祁文相因犯受贿罪被判处有期徒刑五年八个月，并处罚金</w:t>
      </w:r>
      <w:r>
        <w:rPr>
          <w:rFonts w:hint="eastAsia"/>
          <w:lang w:eastAsia="zh-CN"/>
        </w:rPr>
        <w:t>35</w:t>
      </w:r>
      <w:r>
        <w:rPr>
          <w:rFonts w:hint="eastAsia"/>
          <w:lang w:eastAsia="zh-CN"/>
        </w:rPr>
        <w:t>万元。税务部门依据《中华人民共和国税收征收管理法》《涉税专业服务管理办法（试行）》，对该涉税中介和涉及的</w:t>
      </w:r>
      <w:r>
        <w:rPr>
          <w:rFonts w:hint="eastAsia"/>
          <w:lang w:eastAsia="zh-CN"/>
        </w:rPr>
        <w:t>3</w:t>
      </w:r>
      <w:r>
        <w:rPr>
          <w:rFonts w:hint="eastAsia"/>
          <w:lang w:eastAsia="zh-CN"/>
        </w:rPr>
        <w:t>户企业采取行政处罚及信用监管措施。</w:t>
      </w:r>
    </w:p>
    <w:p w14:paraId="4E1A8A48" w14:textId="77777777" w:rsidR="00D937E9" w:rsidRDefault="00000000">
      <w:pPr>
        <w:spacing w:line="360" w:lineRule="auto"/>
        <w:ind w:firstLine="560"/>
        <w:rPr>
          <w:lang w:eastAsia="zh-CN"/>
        </w:rPr>
      </w:pPr>
      <w:r>
        <w:rPr>
          <w:rFonts w:hint="eastAsia"/>
          <w:lang w:eastAsia="zh-CN"/>
        </w:rPr>
        <w:t>三、四川省税务部门查处一名税务人员徇私舞弊办理出口退税等问题。经查，宜宾市税务局吴忠源利用职务便利，在办理出口退税、税务稽查等方面为他人谋取利益，非法收受他人财物，在收受出口退税企业贿赂后徇私舞弊，造成国家税款损失。税务部门依据《中国共产党纪律处分条例》《中华人民共和国公职人员政务处分法》等有关规定，给予吴忠源开除党籍、开除公职处分，同时对涉案经营主体依法查处，挽回税款损失</w:t>
      </w:r>
      <w:r>
        <w:rPr>
          <w:rFonts w:hint="eastAsia"/>
          <w:lang w:eastAsia="zh-CN"/>
        </w:rPr>
        <w:t>1.06</w:t>
      </w:r>
      <w:r>
        <w:rPr>
          <w:rFonts w:hint="eastAsia"/>
          <w:lang w:eastAsia="zh-CN"/>
        </w:rPr>
        <w:t>亿元。</w:t>
      </w:r>
      <w:r>
        <w:rPr>
          <w:rFonts w:hint="eastAsia"/>
          <w:lang w:eastAsia="zh-CN"/>
        </w:rPr>
        <w:t>2024</w:t>
      </w:r>
      <w:r>
        <w:rPr>
          <w:rFonts w:hint="eastAsia"/>
          <w:lang w:eastAsia="zh-CN"/>
        </w:rPr>
        <w:t>年</w:t>
      </w:r>
      <w:r>
        <w:rPr>
          <w:rFonts w:hint="eastAsia"/>
          <w:lang w:eastAsia="zh-CN"/>
        </w:rPr>
        <w:t>12</w:t>
      </w:r>
      <w:r>
        <w:rPr>
          <w:rFonts w:hint="eastAsia"/>
          <w:lang w:eastAsia="zh-CN"/>
        </w:rPr>
        <w:t>月，吴忠源因犯受贿罪、徇私舞弊出口退税罪，数罪并罚，被判处有期徒刑十三年，并处罚金</w:t>
      </w:r>
      <w:r>
        <w:rPr>
          <w:rFonts w:hint="eastAsia"/>
          <w:lang w:eastAsia="zh-CN"/>
        </w:rPr>
        <w:t>60</w:t>
      </w:r>
      <w:r>
        <w:rPr>
          <w:rFonts w:hint="eastAsia"/>
          <w:lang w:eastAsia="zh-CN"/>
        </w:rPr>
        <w:t>万元。</w:t>
      </w:r>
    </w:p>
    <w:p w14:paraId="6B37CF22" w14:textId="77777777" w:rsidR="00D937E9" w:rsidRDefault="00000000">
      <w:pPr>
        <w:spacing w:line="360" w:lineRule="auto"/>
        <w:ind w:firstLine="560"/>
        <w:rPr>
          <w:lang w:eastAsia="zh-CN"/>
        </w:rPr>
      </w:pPr>
      <w:r>
        <w:rPr>
          <w:rFonts w:hint="eastAsia"/>
          <w:lang w:eastAsia="zh-CN"/>
        </w:rPr>
        <w:t>税务部门在推进合规管理的过程中，既促进企业合规经营，又推动税务人员合规履职，持续健全税务监管体系。对纳税人缴费人存在偷逃税、虚开发票和骗取退税等税收违法的，依法予以查处，并对案件查处中发现的税务机关或税务人员涉嫌违纪违法的线索进行一案双查；对涉税中介存在税收违法违规的，除采取将相关机构和从业人员列为涉税服务失信主体等惩戒措施外，同步倒查税务机关和税务人员；对税务人员与不法分子存在内外勾结、通同作弊骗取税款等违纪违法行为的，将同</w:t>
      </w:r>
      <w:r>
        <w:rPr>
          <w:rFonts w:hint="eastAsia"/>
          <w:lang w:eastAsia="zh-CN"/>
        </w:rPr>
        <w:lastRenderedPageBreak/>
        <w:t>步核查涉及的经营主体和涉税中介，一体防范税收风险、执法风险和廉政风险，推进全面从严治党和全面从严治税有机贯通。</w:t>
      </w:r>
    </w:p>
    <w:p w14:paraId="57124988" w14:textId="77777777" w:rsidR="00D937E9" w:rsidRDefault="00000000">
      <w:pPr>
        <w:ind w:firstLine="560"/>
        <w:jc w:val="right"/>
        <w:rPr>
          <w:lang w:eastAsia="zh-CN"/>
        </w:rPr>
      </w:pPr>
      <w:r>
        <w:rPr>
          <w:rFonts w:hint="eastAsia"/>
          <w:lang w:eastAsia="zh-CN"/>
        </w:rPr>
        <w:t>来源：国家税务总局</w:t>
      </w:r>
      <w:r>
        <w:rPr>
          <w:rFonts w:hint="eastAsia"/>
          <w:lang w:eastAsia="zh-CN"/>
        </w:rPr>
        <w:t>-</w:t>
      </w:r>
      <w:r>
        <w:rPr>
          <w:rFonts w:hint="eastAsia"/>
          <w:lang w:eastAsia="zh-CN"/>
        </w:rPr>
        <w:t>税案通报</w:t>
      </w:r>
    </w:p>
    <w:p w14:paraId="739BBBBF" w14:textId="77777777" w:rsidR="00D937E9" w:rsidRDefault="00000000">
      <w:pPr>
        <w:ind w:firstLine="560"/>
        <w:jc w:val="right"/>
        <w:rPr>
          <w:lang w:eastAsia="zh-CN"/>
        </w:rPr>
      </w:pPr>
      <w:r>
        <w:rPr>
          <w:rFonts w:hint="eastAsia"/>
          <w:lang w:eastAsia="zh-CN"/>
        </w:rPr>
        <w:t>时间：</w:t>
      </w:r>
      <w:r>
        <w:rPr>
          <w:rFonts w:hint="eastAsia"/>
          <w:lang w:eastAsia="zh-CN"/>
        </w:rPr>
        <w:t>2026-07-29</w:t>
      </w:r>
    </w:p>
    <w:p w14:paraId="387E8A52" w14:textId="77777777" w:rsidR="00D937E9" w:rsidRDefault="00D937E9">
      <w:pPr>
        <w:ind w:firstLine="560"/>
        <w:jc w:val="right"/>
        <w:rPr>
          <w:lang w:eastAsia="zh-CN"/>
        </w:rPr>
      </w:pPr>
    </w:p>
    <w:p w14:paraId="698D300C" w14:textId="77777777" w:rsidR="00D937E9" w:rsidRDefault="00000000">
      <w:pPr>
        <w:pStyle w:val="1"/>
        <w:ind w:firstLine="640"/>
        <w:rPr>
          <w:rFonts w:hint="eastAsia"/>
        </w:rPr>
      </w:pPr>
      <w:bookmarkStart w:id="61" w:name="_Toc25989"/>
      <w:r>
        <w:rPr>
          <w:rFonts w:hint="eastAsia"/>
        </w:rPr>
        <w:t>五、税务合规探索</w:t>
      </w:r>
      <w:bookmarkEnd w:id="61"/>
    </w:p>
    <w:p w14:paraId="68792867" w14:textId="77777777" w:rsidR="00D937E9" w:rsidRDefault="00000000">
      <w:pPr>
        <w:pStyle w:val="2"/>
        <w:spacing w:before="140" w:after="140" w:line="360" w:lineRule="auto"/>
        <w:ind w:firstLine="600"/>
        <w:rPr>
          <w:rFonts w:ascii="仿宋" w:hAnsi="仿宋" w:cs="仿宋" w:hint="eastAsia"/>
          <w:lang w:eastAsia="zh-CN"/>
        </w:rPr>
      </w:pPr>
      <w:bookmarkStart w:id="62" w:name="_Toc23730"/>
      <w:r>
        <w:rPr>
          <w:rFonts w:ascii="仿宋" w:hAnsi="仿宋" w:cs="仿宋" w:hint="eastAsia"/>
          <w:lang w:eastAsia="zh-CN"/>
        </w:rPr>
        <w:t>（一）合规也能“小而美”广东中小企业探索税务合规新路径</w:t>
      </w:r>
      <w:bookmarkEnd w:id="62"/>
    </w:p>
    <w:p w14:paraId="0B0FF4C7"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规模小、人手少、资金紧——这是大多数中小企业的共同画像。在传统的商业认知中，合规往往被视为大型企业的“标配”，意味着高昂的成本、复杂的流程和庞大的专业团队。然而，随着税收治理现代化的深入和市场监管的精细化，广大中小企业正面临着一道必答题：如何在资源有限的前提下实现合规经营？广东众多中小企业的实践表明，合规并非一定要“大而全”，通过量身设计内控机制、数字技术赋能和多方协同治理，中小企业完全可以走出一条“小而美”的合规发展新路。</w:t>
      </w:r>
    </w:p>
    <w:p w14:paraId="7E2E2558" w14:textId="77777777" w:rsidR="00D937E9" w:rsidRDefault="00000000">
      <w:pPr>
        <w:widowControl w:val="0"/>
        <w:adjustRightInd w:val="0"/>
        <w:snapToGrid w:val="0"/>
        <w:spacing w:beforeLines="50" w:before="120" w:afterLines="50" w:after="120" w:line="360" w:lineRule="auto"/>
        <w:ind w:firstLine="562"/>
        <w:contextualSpacing/>
        <w:rPr>
          <w:rFonts w:ascii="仿宋" w:hAnsi="仿宋" w:cs="仿宋" w:hint="eastAsia"/>
          <w:b/>
          <w:bCs/>
          <w:color w:val="000000"/>
          <w:szCs w:val="28"/>
          <w:lang w:eastAsia="zh-CN"/>
        </w:rPr>
      </w:pPr>
      <w:r>
        <w:rPr>
          <w:rFonts w:ascii="仿宋" w:hAnsi="仿宋" w:cs="仿宋"/>
          <w:b/>
          <w:bCs/>
          <w:color w:val="000000"/>
          <w:szCs w:val="28"/>
          <w:lang w:eastAsia="zh-CN"/>
        </w:rPr>
        <w:t>构建全流程风控体系 打好合规发展的底子</w:t>
      </w:r>
    </w:p>
    <w:p w14:paraId="4B5BA3DE"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在实践中，一些中小企业的合规管理呈现“碎片化”特征，缺乏系统性、整体性规划。尤其在税务风险防控中，“重事后补救、轻事前防控”的惯性思维较为普遍，对合同流、资金流、发票流、货物流（或服务流）“四流不一致”等潜在风险，难以实现早发现、早应对。</w:t>
      </w:r>
    </w:p>
    <w:p w14:paraId="15AA6214"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对广大中小企业而言，合规管理的核心，就是推动管理关口前移，完成从“被动遵从”到“主动管理”的跨越——搭建适配自身经营实际的全流程税务合规管理体系，从源头化解涉税风险、夯实发展根基。</w:t>
      </w:r>
    </w:p>
    <w:p w14:paraId="4481585B"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广州市花都区花山天誉电器销售中心是一家本土小型家电销售企业，较早布局电商赛道，营收稳步增长，但企业体量有限，仅配备两名基础核算会计，面对无票采购、未开票收入等复杂涉税业务，管理压力突出。此前，企业曾因通过个人账户留存刷单回流款、未如实申报收入，导致</w:t>
      </w:r>
      <w:r>
        <w:rPr>
          <w:rFonts w:ascii="仿宋" w:hAnsi="仿宋" w:cs="仿宋"/>
          <w:color w:val="000000"/>
          <w:szCs w:val="28"/>
          <w:lang w:eastAsia="zh-CN"/>
        </w:rPr>
        <w:lastRenderedPageBreak/>
        <w:t>资金流与发票流严重错配，触发涉税风险预警。</w:t>
      </w:r>
    </w:p>
    <w:p w14:paraId="312772A7"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这次风险给天誉电器敲响了警钟。企业随即组织财务人员开展专项政策培训，厘清增值税进项抵扣规则与小型微利企业所得税优惠政策的适用条件；同时引入电商合规体检工具，定期比对平台经营数据与纳税申报数据，对收入异常开展动态预警。“这次经历就像一次‘脱胎换骨’。”天誉电器负责人尹权说，“规范财税管理体系固然要投入精力，但收益是长期的。只有算清‘税务账’，企业才能在合规经营的道路上走得远、走得稳！”</w:t>
      </w:r>
    </w:p>
    <w:p w14:paraId="5166311B"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不少外贸企业同样在全链条风控建设中收获“合规红利”。广东三辉无纺机械有限公司开拓海外市场初期，曾面临出口涉税流程不熟悉、备案单证不规范等难题。为解决这些难题，企业将合规管理嵌入研发、采购、生产、出口全链条，建立标准化出口单证管理制度，组建内部审计团队及外贸风险评估团队，对每一笔出口业务进行全流程合规审核，筑牢“业财税”一体化风险防线。企业主要负责人杨博介绍，依托过硬的研发实力与完备财税风控体系，企业连续3年获评A级纳税人，品牌信誉获得众多海外客户认可。</w:t>
      </w:r>
    </w:p>
    <w:p w14:paraId="5876BABD"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这样的合规转型实践，在广东一些新兴行业的中小企业中也多有探索。广州探迹科技有限公司是一家利用AI和大数据技术为企业打造“数字员工”的新业态企业。创业初期，由于核心团队成员以技术专业背景为主，对税收政策了解不够，企业曾因申报不及时等问题几次收到税务部门提醒。企业随即升级税务管控架构，设立税务专职岗位，把财税培训纳入常态化管理；建立业务层、财务层、管理层三级校验机制，在合同签订、发票审核、纳税申报等关键环节增设复核流程，形成闭环管控，实现风险可控。“税务合规不是被动应付检查，而是主动管理风险，主动管理的成本远低于被动弥补的成本。”公司联合创始人翁淑蓁表示，得益于完善的税务合规管理体系，公司已连续6年获评A级纳税人。</w:t>
      </w:r>
    </w:p>
    <w:p w14:paraId="5DE6CE02" w14:textId="77777777" w:rsidR="00D937E9" w:rsidRDefault="00000000">
      <w:pPr>
        <w:widowControl w:val="0"/>
        <w:adjustRightInd w:val="0"/>
        <w:snapToGrid w:val="0"/>
        <w:spacing w:beforeLines="50" w:before="120" w:afterLines="50" w:after="120" w:line="360" w:lineRule="auto"/>
        <w:ind w:firstLine="562"/>
        <w:contextualSpacing/>
        <w:rPr>
          <w:rFonts w:ascii="仿宋" w:hAnsi="仿宋" w:cs="仿宋" w:hint="eastAsia"/>
          <w:b/>
          <w:bCs/>
          <w:color w:val="000000"/>
          <w:szCs w:val="28"/>
          <w:lang w:eastAsia="zh-CN"/>
        </w:rPr>
      </w:pPr>
      <w:r>
        <w:rPr>
          <w:rFonts w:ascii="仿宋" w:hAnsi="仿宋" w:cs="仿宋"/>
          <w:b/>
          <w:bCs/>
          <w:color w:val="000000"/>
          <w:szCs w:val="28"/>
          <w:lang w:eastAsia="zh-CN"/>
        </w:rPr>
        <w:lastRenderedPageBreak/>
        <w:t>依托数字化工具 走好合规发展的路子</w:t>
      </w:r>
    </w:p>
    <w:p w14:paraId="7A7A0B66"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随着税收大数据监管持续深化，数电发票全面推广，我国税务监管进入数据驱动、协同共治的新阶段，传统人工记账、线下办理模式难以适应新形势要求。对中小企业而言，将合规内嵌于业务流程，搭建轻量化数字合规工具链，实现风险识别前移，已成为提高合规效率的重要手段。</w:t>
      </w:r>
    </w:p>
    <w:p w14:paraId="37143EBE"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数字化转型的价值，在科技型企业身上体现得尤为突出。珠海亿智电子科技有限公司是专注于端侧视觉AI芯片设计的国家级专精特新企业。随着业务快速扩张、研发项目日趋复杂，研发数据分散在各个业务环节，供应商遍布全球；财务人员期末归集研发费用时，长期面临数据获取困难、交叉核对工作量大、分摊标准不统一等痛点。“以前跨系统取数、手工核对，耗时费力，还容易出现政策适用偏差。”公司财务负责人陈小慧坦言。</w:t>
      </w:r>
    </w:p>
    <w:p w14:paraId="1EB7CE13"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面对这一挑战，珠海亿智引入CRM（客户关系管理）系统，配套应用财税数字化工具，为每一个研发项目设立独立的数字标识，从业务前端自动采集、标记各类费用归属；系统按照税收政策口径自动生成研发费用辅助账和费用归集表，极大提升了研发费用加计扣除申报的准确性。</w:t>
      </w:r>
    </w:p>
    <w:p w14:paraId="0C697A95"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如果说科技企业数字化重在“精准”，消费服务业务数字化则重在数据“聚合”。东莞健力口腔医院客户分散、票据零散，容易产生资金流、发票流错配风险。2025年，在东莞税务部门辅导下，企业上线轻量化业财税一体化系统，搭建涉税数据集中管理平台，对电子发票、银行流水、审批单据、合同资料实行结构化、系统化归档，实现单据自动同步、凭证自动生成、税费精准核算与一键申报。“过去是人盯数据，现在是数据管人，高效又踏实。”企业财务负责人李瑛介绍，系统上线后，发票审核入账时长缩短80%以上，月度整体报税工作周期由3个工作日压缩至半天，显著节约了财务人力。</w:t>
      </w:r>
    </w:p>
    <w:p w14:paraId="45906B23"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lastRenderedPageBreak/>
        <w:t>针对中小企业“规模小、人手少、财务不规范”等现实痛点，广东省税务部门主动借力数字化手段，重塑税务合规服务链条，引导广大中小企业由“经验经营”转向“规则经营”。一方面，依托电子税务局推出“申报智能自检”，将合规审查前移，方便企业自查自纠；另一方面，通过线上直播、案例微视频等形式，常态化推送正反典型案例、行业合规指引和政策解读，并配套发布正负面清单，帮助中小企业直观识别“红线”与“绿灯”，强化依法诚信纳税意识。</w:t>
      </w:r>
    </w:p>
    <w:p w14:paraId="506B02B8" w14:textId="77777777" w:rsidR="00D937E9" w:rsidRDefault="00000000">
      <w:pPr>
        <w:widowControl w:val="0"/>
        <w:adjustRightInd w:val="0"/>
        <w:snapToGrid w:val="0"/>
        <w:spacing w:beforeLines="50" w:before="120" w:afterLines="50" w:after="120" w:line="360" w:lineRule="auto"/>
        <w:ind w:firstLine="562"/>
        <w:contextualSpacing/>
        <w:rPr>
          <w:rFonts w:ascii="仿宋" w:hAnsi="仿宋" w:cs="仿宋" w:hint="eastAsia"/>
          <w:b/>
          <w:bCs/>
          <w:color w:val="000000"/>
          <w:szCs w:val="28"/>
          <w:lang w:eastAsia="zh-CN"/>
        </w:rPr>
      </w:pPr>
      <w:r>
        <w:rPr>
          <w:rFonts w:ascii="仿宋" w:hAnsi="仿宋" w:cs="仿宋"/>
          <w:b/>
          <w:bCs/>
          <w:color w:val="000000"/>
          <w:szCs w:val="28"/>
          <w:lang w:eastAsia="zh-CN"/>
        </w:rPr>
        <w:t>借助专业力量 迈好合规协同的步子</w:t>
      </w:r>
    </w:p>
    <w:p w14:paraId="345420FD"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市场竞争压力之下，一些中小企业因将主要精力倾注于业务扩张，很容易忽略税务合规，出现涉税风险。</w:t>
      </w:r>
    </w:p>
    <w:p w14:paraId="1A826314"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珠海燕隆石化就曾因重业务、轻内控，出现发票涉税问题，纳税缴费信用等级被降为D级，发票开具受限，经营遭受冲击。</w:t>
      </w:r>
    </w:p>
    <w:p w14:paraId="171FAF97"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当时客户拿不到发票，成本无法扣除，公司信誉严重受损。”回忆过往危机，该企业负责人方女士至今仍难掩懊悔。珠海市税务部门了解到燕隆石化的经营困境后，一方面梳理石化行业风险清单和合规要点，辅导企业重构采购、合同审核和发票管理流程，建立涉税事项复核机制；另一方面，辅导企业对2024年、2025年纳税缴费信用进行修复，帮助企业恢复正常经营。经历这次教训后，企业修订了销售和资金结算制度，建立发票、申报多岗复核机制，开展常态化风险自查，定期排查发票、关联交易、资产管理风险，做到风险早发现、早处置。“从受限到解封，我们明白了合规不仅是底线，更是企业生存的生命线。”方女士补充道。</w:t>
      </w:r>
    </w:p>
    <w:p w14:paraId="359FE59C"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燕隆石化的遭遇，折射出中小企业共性难题：面对日趋精细的税收治理要求，受人才、资金、信息渠道制约，中小企业在政策适用、复杂交易风险识别上短板明显。</w:t>
      </w:r>
    </w:p>
    <w:p w14:paraId="52385C86"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广州市注册税务师协会专家委员会委员郑嘉亮表示，受资源制约，中小企业税务合规建设不能照搬大企业模式，应坚持风险导向、成本适</w:t>
      </w:r>
      <w:r>
        <w:rPr>
          <w:rFonts w:ascii="仿宋" w:hAnsi="仿宋" w:cs="仿宋"/>
          <w:color w:val="000000"/>
          <w:szCs w:val="28"/>
          <w:lang w:eastAsia="zh-CN"/>
        </w:rPr>
        <w:lastRenderedPageBreak/>
        <w:t>配原则，聚焦高风险事项建立内控机制；并依托税务部门政策辅导与第三方专业服务，构建三方联动网络，实现从“被动应对”风险走向“协同治理”。</w:t>
      </w:r>
    </w:p>
    <w:p w14:paraId="57426C20"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这一模式在出口中小企业中已显成效。走进佛山市高明粤华卫生洁具有限公司财务办公区，记者发现每个工位上都放着一张“涉税政策小贴士”。“这是佛山市税务部门用来辅导我们的‘避坑指南’。”公司总经理黄杰森介绍，与许多出口中小企业一样，公司发展初期遇到跨境税务问题常常无从下手。佛山市税务部门协助企业梳理了出口业务中发票开具、单证备案、退税申报等关键环节的风险点和合规要点，还分析了跨境经营常见涉税风险案例和应对方法，让企业受益匪浅。“合规是立身之本，也是我们开拓海外市场的最大底气。”黄杰森表示，依托持续完善的税务合规体系，公司已多年获评A级纳税人，产品远销欧美数十个国家和地区。</w:t>
      </w:r>
    </w:p>
    <w:p w14:paraId="2A3AF399"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阳山粤能电力有限公司同样受益于多方协同合规。这家老牌电力企业曾因行业特殊、专业财税人才紧缺，长期收到申报收入差异预警提醒。“过去我们只埋头搞发电，对税务风险敏感度不足。”企业负责人张岳彬坦言。之后，企业主动应用电子税务局“税务健康体检”功能，定期对申报数据进行跨税费种扫描，并委托第三方涉税专业服务机构，针对水电企业固定资产折旧、水资源税申报等复杂业务开展专项排查，建立常态化内控机制。“在税务数据预警和多方专业辅导下，政策吃得准了，风险也降低了。”张岳彬表示。</w:t>
      </w:r>
    </w:p>
    <w:p w14:paraId="32A0049B"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广东中小企业的实践表明，税务合规不是中小企业的额外负担，而是制胜未来的重要基础。随着税收治理现代化不断深入，越来越多广东中小企业把依法合规经营融入企业治理全过程，将税务合规优势转化为融资信用、市场信誉和发展动能。在此背景下，探索中小企业税务合规实践，正为优化营商环境、服务经济高质量发展注入强劲动能。</w:t>
      </w:r>
    </w:p>
    <w:p w14:paraId="3FDD87D9" w14:textId="77777777" w:rsidR="00D937E9"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color w:val="333333"/>
          <w:sz w:val="28"/>
          <w:szCs w:val="28"/>
          <w:shd w:val="clear" w:color="auto" w:fill="FFFFFF"/>
        </w:rPr>
        <w:lastRenderedPageBreak/>
        <w:t>来源：中国税务报</w:t>
      </w:r>
    </w:p>
    <w:p w14:paraId="30B16BFF" w14:textId="77777777" w:rsidR="00D937E9"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color w:val="333333"/>
          <w:sz w:val="28"/>
          <w:szCs w:val="28"/>
          <w:shd w:val="clear" w:color="auto" w:fill="FFFFFF"/>
        </w:rPr>
        <w:t>时间：2026-0</w:t>
      </w:r>
      <w:r>
        <w:rPr>
          <w:rFonts w:ascii="仿宋" w:hAnsi="仿宋" w:cs="仿宋" w:hint="eastAsia"/>
          <w:color w:val="333333"/>
          <w:sz w:val="28"/>
          <w:szCs w:val="28"/>
          <w:shd w:val="clear" w:color="auto" w:fill="FFFFFF"/>
        </w:rPr>
        <w:t>8</w:t>
      </w:r>
      <w:r>
        <w:rPr>
          <w:rFonts w:ascii="仿宋" w:hAnsi="仿宋" w:cs="仿宋"/>
          <w:color w:val="333333"/>
          <w:sz w:val="28"/>
          <w:szCs w:val="28"/>
          <w:shd w:val="clear" w:color="auto" w:fill="FFFFFF"/>
        </w:rPr>
        <w:t>-</w:t>
      </w:r>
      <w:r>
        <w:rPr>
          <w:rFonts w:ascii="仿宋" w:hAnsi="仿宋" w:cs="仿宋" w:hint="eastAsia"/>
          <w:color w:val="333333"/>
          <w:sz w:val="28"/>
          <w:szCs w:val="28"/>
          <w:shd w:val="clear" w:color="auto" w:fill="FFFFFF"/>
        </w:rPr>
        <w:t>18</w:t>
      </w:r>
    </w:p>
    <w:p w14:paraId="2188D926" w14:textId="77777777" w:rsidR="00D937E9" w:rsidRDefault="00000000">
      <w:pPr>
        <w:pStyle w:val="2"/>
        <w:spacing w:before="140" w:after="140" w:line="360" w:lineRule="auto"/>
        <w:ind w:firstLine="600"/>
        <w:rPr>
          <w:rFonts w:ascii="仿宋" w:hAnsi="仿宋" w:cs="仿宋" w:hint="eastAsia"/>
          <w:lang w:eastAsia="zh-CN"/>
        </w:rPr>
      </w:pPr>
      <w:bookmarkStart w:id="63" w:name="_Toc8737"/>
      <w:r>
        <w:rPr>
          <w:rFonts w:ascii="仿宋" w:hAnsi="仿宋" w:cs="仿宋" w:hint="eastAsia"/>
          <w:lang w:eastAsia="zh-CN"/>
        </w:rPr>
        <w:t>（二）</w:t>
      </w:r>
      <w:r>
        <w:rPr>
          <w:rFonts w:ascii="仿宋" w:hAnsi="仿宋" w:cs="仿宋"/>
          <w:lang w:eastAsia="zh-CN"/>
        </w:rPr>
        <w:t>天津生物医药行业企业以智税防风险 以合规促创新</w:t>
      </w:r>
      <w:bookmarkEnd w:id="63"/>
    </w:p>
    <w:p w14:paraId="19FF5389"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从实验室的精密研发到现代车间的繁忙生产，一支支疫苗、一罐罐创新药正加速走向全国乃至全球市场……作为技术密集、投入巨大且关乎民生的国家新兴支柱产业，天津生物医药行业正呈现出蓬勃发展的强劲态势。</w:t>
      </w:r>
    </w:p>
    <w:p w14:paraId="7334623E"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然而，生物医药产业研发投入大、涉税事项复杂、政策适用专业性强等行业特点，也让企业在高速扩张中面临着潜在涉税风险与合规挑战。近年来，天津生物医药行业众多企业搭建起覆盖全流程、贯穿全链条的合规防线，为长远发展筑牢“压舱石”。</w:t>
      </w:r>
    </w:p>
    <w:p w14:paraId="3BA9DC8F" w14:textId="77777777" w:rsidR="00D937E9" w:rsidRDefault="00000000">
      <w:pPr>
        <w:widowControl w:val="0"/>
        <w:adjustRightInd w:val="0"/>
        <w:snapToGrid w:val="0"/>
        <w:spacing w:beforeLines="50" w:before="120" w:afterLines="50" w:after="120" w:line="360" w:lineRule="auto"/>
        <w:ind w:firstLine="562"/>
        <w:contextualSpacing/>
        <w:rPr>
          <w:rFonts w:ascii="仿宋" w:hAnsi="仿宋" w:cs="仿宋" w:hint="eastAsia"/>
          <w:b/>
          <w:bCs/>
          <w:color w:val="000000"/>
          <w:szCs w:val="28"/>
          <w:lang w:eastAsia="zh-CN"/>
        </w:rPr>
      </w:pPr>
      <w:r>
        <w:rPr>
          <w:rFonts w:ascii="仿宋" w:hAnsi="仿宋" w:cs="仿宋"/>
          <w:b/>
          <w:bCs/>
          <w:color w:val="000000"/>
          <w:szCs w:val="28"/>
          <w:lang w:eastAsia="zh-CN"/>
        </w:rPr>
        <w:t>研发费用归集“精准化”</w:t>
      </w:r>
    </w:p>
    <w:p w14:paraId="7E7F337C"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丹娜（天津）生物科技股份有限公司是首批国家级专精特新“小巨人”企业。近年来，该企业将合规管控嵌入研发全生命周期，为创新发展打下坚实合规根基。</w:t>
      </w:r>
    </w:p>
    <w:p w14:paraId="70E71E92"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在研发立项环节，财务部门前置“政策研判、项目编码、辅助建账”三道关卡，为每个研发项目分配唯一编码，财务系统同步建立独立辅助账，所有费用报销、物料领用及工时填报均须关联项目编号。“这就好比为每个研发项目配备了专属会计，任何一笔费用从源头就知道该归集到哪里。”公司财务负责人刘雄志表示。</w:t>
      </w:r>
    </w:p>
    <w:p w14:paraId="6D8CB10F"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研发过程中，企业打通“研发—财务—税务”数据联动通道，按项目类型分别归集费用，项目负责人按时间节点细化任务，财务同步更新优化辅助账。针对同时从事研发和非研发活动的“两栖人员”，实行专项名录管理，人事、研发、财务三方实时同步工时占比数据，确保薪酬分配有据可依。针对临床试验费、注册费、检测检验费等归集口径专业性较强的费用，每笔支出均绑定专属项目编码，做到合同、发票、付款</w:t>
      </w:r>
      <w:r>
        <w:rPr>
          <w:rFonts w:ascii="仿宋" w:hAnsi="仿宋" w:cs="仿宋"/>
          <w:color w:val="000000"/>
          <w:szCs w:val="28"/>
          <w:lang w:eastAsia="zh-CN"/>
        </w:rPr>
        <w:lastRenderedPageBreak/>
        <w:t>记录“三单合一”后方可入账。后续，财务人员逐笔复核费用性质与研发项目的关联性，确保每笔支出均有合同支撑、发票对应、项目归属及备查资料，形成完整可追溯的链条。</w:t>
      </w:r>
    </w:p>
    <w:p w14:paraId="49718D8D"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2025年，丹娜生物申报缴纳税费超3500万元，享受研发费用加计扣除额2890余万元。“合规经营是企业实现长期稳健发展的基础，我们将合规管理贯穿创新研发全程，已连续8年获评A级纳税人。”丹娜生物董事长周泽奇说。</w:t>
      </w:r>
    </w:p>
    <w:p w14:paraId="245032DD" w14:textId="77777777" w:rsidR="00D937E9" w:rsidRDefault="00000000">
      <w:pPr>
        <w:widowControl w:val="0"/>
        <w:adjustRightInd w:val="0"/>
        <w:snapToGrid w:val="0"/>
        <w:spacing w:beforeLines="50" w:before="120" w:afterLines="50" w:after="120" w:line="360" w:lineRule="auto"/>
        <w:ind w:firstLine="562"/>
        <w:contextualSpacing/>
        <w:rPr>
          <w:rFonts w:ascii="仿宋" w:hAnsi="仿宋" w:cs="仿宋" w:hint="eastAsia"/>
          <w:b/>
          <w:bCs/>
          <w:color w:val="000000"/>
          <w:szCs w:val="28"/>
          <w:lang w:eastAsia="zh-CN"/>
        </w:rPr>
      </w:pPr>
      <w:r>
        <w:rPr>
          <w:rFonts w:ascii="仿宋" w:hAnsi="仿宋" w:cs="仿宋"/>
          <w:b/>
          <w:bCs/>
          <w:color w:val="000000"/>
          <w:szCs w:val="28"/>
          <w:lang w:eastAsia="zh-CN"/>
        </w:rPr>
        <w:t>“四流合一”管控“闭环化”</w:t>
      </w:r>
    </w:p>
    <w:p w14:paraId="33BC1D8E"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作为国家级高新技术企业，天津和治药业集团连续10年被评为A级纳税人。该公司构建合同、业务、发票、资金“四流合一”合规管理体系，牢牢守住合规经营底线。</w:t>
      </w:r>
    </w:p>
    <w:p w14:paraId="52C69F2F"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合规的起点不在后端财务环节，而是前移至合同签约环节。”和治药业董事长蔡治河说，在合同源头管控上，企业建立分级审核机制，实行业务、法务、财务、风控四方联审，从源头上规避交易主体不一致风险。所有合同实行统一归档、集中管理，无合同订单一律不得排产、不得发货，避免虚开发票、虚假交易情况发生。在销售出库环节，随货同行单详细载明药品批号、规格、数量，入库验收记录与合同标的逐一匹配，通过药品追溯码扫码留痕，实现药品去向可查、踪迹可溯。 </w:t>
      </w:r>
    </w:p>
    <w:p w14:paraId="28D5BCAC"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此外，企业还设置专职发票管理员岗位，销项发票严格按照合同、出库单据实开具。取得进项发票后，第一时间通过增值税发票综合服务平台完成查验，同时将票面信息与业务佐证材料交叉比对，一旦发现发票信息与合同约定货物不符，一律要求退回重开。</w:t>
      </w:r>
    </w:p>
    <w:p w14:paraId="2AB3C9DC"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为严防资金回流风险，企业划定资金管理红线，所有经营款项全部通过对公账户结算，银行转账摘要明确备注合同编号、业务类型、药品批次及服务项目，便于快速溯源。每月定期核对银行流水，将收付款凭证与对应合同、发票、出库单逐一匹配对账，若出现资金收款方与购货</w:t>
      </w:r>
      <w:r>
        <w:rPr>
          <w:rFonts w:ascii="仿宋" w:hAnsi="仿宋" w:cs="仿宋"/>
          <w:color w:val="000000"/>
          <w:szCs w:val="28"/>
          <w:lang w:eastAsia="zh-CN"/>
        </w:rPr>
        <w:lastRenderedPageBreak/>
        <w:t>单位不一致、付款金额与发票差额异常等情况，立即暂停资金结算，启动专项核查，厘清差异后方可入账。</w:t>
      </w:r>
    </w:p>
    <w:p w14:paraId="4E53B950"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除此之外，我们还创新搭建数字化合规系统，打通合同模块、业务台账、发票管理、资金出纳四大数据端口，实现自动穿透校验，做到业务发生即留痕、数据产生即校验、风险异常即预警，将事后整改转为事前防控、事中管控。”蔡治河介绍。</w:t>
      </w:r>
    </w:p>
    <w:p w14:paraId="7CF91B55" w14:textId="77777777" w:rsidR="00D937E9" w:rsidRDefault="00000000">
      <w:pPr>
        <w:widowControl w:val="0"/>
        <w:adjustRightInd w:val="0"/>
        <w:snapToGrid w:val="0"/>
        <w:spacing w:beforeLines="50" w:before="120" w:afterLines="50" w:after="120" w:line="360" w:lineRule="auto"/>
        <w:ind w:firstLine="562"/>
        <w:contextualSpacing/>
        <w:rPr>
          <w:rFonts w:ascii="仿宋" w:hAnsi="仿宋" w:cs="仿宋" w:hint="eastAsia"/>
          <w:b/>
          <w:bCs/>
          <w:color w:val="000000"/>
          <w:szCs w:val="28"/>
          <w:lang w:eastAsia="zh-CN"/>
        </w:rPr>
      </w:pPr>
      <w:r>
        <w:rPr>
          <w:rFonts w:ascii="仿宋" w:hAnsi="仿宋" w:cs="仿宋"/>
          <w:b/>
          <w:bCs/>
          <w:color w:val="000000"/>
          <w:szCs w:val="28"/>
          <w:lang w:eastAsia="zh-CN"/>
        </w:rPr>
        <w:t>财务管理系统“智能化”</w:t>
      </w:r>
    </w:p>
    <w:p w14:paraId="7B9A93F2"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天津市敬业精细化工有限公司产品全球市场占有率近40%，先后获评国家级高新技术企业等多项荣誉，连续7年获评A级纳税人。</w:t>
      </w:r>
    </w:p>
    <w:p w14:paraId="742AA5B8"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自2012年开始，企业就自主打造财务信息化系统，如今已建成集审批、合同收付、资产管理、供应链核算、税务管控、财务结算六大系统于一体的财务数据中心，并支持收入、成本、流水等多维度财务数据可视化展示。</w:t>
      </w:r>
    </w:p>
    <w:p w14:paraId="232478F5"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公司财务负责人程辉介绍，该系统可自动校验涉税数据间的逻辑关系，实现多维度数据的交叉印证。在此基础上，系统可按照规范审计口径，自动归集对应业务的全量佐证资料，生成完整可追溯的审计底稿。此外，数据中心内嵌财务风险监控模型，对业务单据、物流凭证、资金支付及发票信息开展实时比对稽核与异常监控，一旦出现付款对象与合同签订方不一致、票面信息与实际销售货物不符等情形，自动触发风险预警，有效避免因人为核对疏漏造成的票据管理风险。每逢申报期，公司财务部门通过数据中心抓取已完结业务数据，高效完成全量涉税业务数据核算，申报数据准确率达99%以上。</w:t>
      </w:r>
    </w:p>
    <w:p w14:paraId="4941253F"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作为一家专注于创新疫苗研发、生产和商业化的高科技生物制品企业，康希诺生物股份公司近年来发展迅速，发票处理量也在同步攀升。</w:t>
      </w:r>
    </w:p>
    <w:p w14:paraId="633EBE59"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为此，企业建立起一套数智化发票管理机制，实现发票采集、验真、认证、入账的全链条自动化处理，从源头减少人为操作带来的误差。所</w:t>
      </w:r>
      <w:r>
        <w:rPr>
          <w:rFonts w:ascii="仿宋" w:hAnsi="仿宋" w:cs="仿宋"/>
          <w:color w:val="000000"/>
          <w:szCs w:val="28"/>
          <w:lang w:eastAsia="zh-CN"/>
        </w:rPr>
        <w:lastRenderedPageBreak/>
        <w:t>有发票信息与业务单据自动关联，系统逐笔核对票面信息的完整性，确认无误后方可进入下一环节。在此基础上，公司又引入RPA（机器人流程自动化）系统，在自动化流程之上再加一道“智能防线”。RPA机器人对发票的关键信息进行7×24小时不间断校验，一旦发现票面信息异常等情况，系统即刻自动退回，并同步推送预警提醒至经办人，要求重新提报。人工审核与系统校验双重把关，将风险拦在入账之前。</w:t>
      </w:r>
    </w:p>
    <w:p w14:paraId="79193BB6"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康希诺生物首席科学官朱涛表示：“这种数智化发票管控模式不仅提升了财务运行效率，更让企业在生产经营中‘心中有底、手中有据’。”</w:t>
      </w:r>
    </w:p>
    <w:p w14:paraId="5814BE16"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天津财经大学财税与公共管理学院教授李伟表示，这几家企业的实践证明，通过构建内控体系、规范费用归集以及政策适用等方式，可以有效破解发票管理疏漏、财务核算不规范等生物医药产业共性难题。这为同行业企业跳出税务合规管理“事后补救”的窠臼，转向“事前规划、事中控制、事后评估”的全生命周期合规管理，提供了很好的借鉴。</w:t>
      </w:r>
    </w:p>
    <w:p w14:paraId="2ECD2D55" w14:textId="77777777" w:rsidR="00D937E9" w:rsidRDefault="00D937E9">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p>
    <w:p w14:paraId="1050D978" w14:textId="77777777" w:rsidR="00D937E9"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color w:val="333333"/>
          <w:sz w:val="28"/>
          <w:szCs w:val="28"/>
          <w:shd w:val="clear" w:color="auto" w:fill="FFFFFF"/>
        </w:rPr>
        <w:t>来源：中国税务报</w:t>
      </w:r>
    </w:p>
    <w:p w14:paraId="08B37DEE" w14:textId="77777777" w:rsidR="00D937E9" w:rsidRDefault="00000000">
      <w:pPr>
        <w:widowControl w:val="0"/>
        <w:adjustRightInd w:val="0"/>
        <w:snapToGrid w:val="0"/>
        <w:spacing w:beforeLines="50" w:before="120" w:afterLines="50" w:after="120"/>
        <w:ind w:firstLine="560"/>
        <w:contextualSpacing/>
        <w:jc w:val="right"/>
        <w:rPr>
          <w:rFonts w:ascii="仿宋" w:hAnsi="仿宋" w:cs="仿宋" w:hint="eastAsia"/>
          <w:color w:val="000000"/>
          <w:szCs w:val="28"/>
          <w:lang w:eastAsia="zh-CN"/>
        </w:rPr>
      </w:pPr>
      <w:r>
        <w:rPr>
          <w:rFonts w:ascii="仿宋" w:hAnsi="仿宋" w:cs="仿宋"/>
          <w:color w:val="333333"/>
          <w:szCs w:val="28"/>
          <w:shd w:val="clear" w:color="auto" w:fill="FFFFFF"/>
          <w:lang w:eastAsia="zh-CN"/>
        </w:rPr>
        <w:t>时间：2026-0</w:t>
      </w:r>
      <w:r>
        <w:rPr>
          <w:rFonts w:ascii="仿宋" w:hAnsi="仿宋" w:cs="仿宋" w:hint="eastAsia"/>
          <w:color w:val="333333"/>
          <w:szCs w:val="28"/>
          <w:shd w:val="clear" w:color="auto" w:fill="FFFFFF"/>
          <w:lang w:eastAsia="zh-CN"/>
        </w:rPr>
        <w:t>8</w:t>
      </w:r>
      <w:r>
        <w:rPr>
          <w:rFonts w:ascii="仿宋" w:hAnsi="仿宋" w:cs="仿宋"/>
          <w:color w:val="333333"/>
          <w:szCs w:val="28"/>
          <w:shd w:val="clear" w:color="auto" w:fill="FFFFFF"/>
          <w:lang w:eastAsia="zh-CN"/>
        </w:rPr>
        <w:t>-</w:t>
      </w:r>
      <w:r>
        <w:rPr>
          <w:rFonts w:ascii="仿宋" w:hAnsi="仿宋" w:cs="仿宋" w:hint="eastAsia"/>
          <w:color w:val="333333"/>
          <w:szCs w:val="28"/>
          <w:shd w:val="clear" w:color="auto" w:fill="FFFFFF"/>
          <w:lang w:eastAsia="zh-CN"/>
        </w:rPr>
        <w:t>26</w:t>
      </w:r>
    </w:p>
    <w:p w14:paraId="68F2C2D0" w14:textId="77777777" w:rsidR="00D937E9" w:rsidRDefault="00D937E9">
      <w:pPr>
        <w:pStyle w:val="2"/>
        <w:spacing w:before="140" w:after="140" w:line="360" w:lineRule="auto"/>
        <w:ind w:firstLine="600"/>
        <w:rPr>
          <w:rFonts w:ascii="仿宋" w:hAnsi="仿宋" w:cs="仿宋" w:hint="eastAsia"/>
          <w:lang w:eastAsia="zh-CN"/>
        </w:rPr>
      </w:pPr>
      <w:bookmarkStart w:id="64" w:name="_Toc30559"/>
    </w:p>
    <w:p w14:paraId="44289DF9" w14:textId="77777777" w:rsidR="00D937E9" w:rsidRDefault="00000000">
      <w:pPr>
        <w:pStyle w:val="2"/>
        <w:spacing w:before="140" w:after="140" w:line="360" w:lineRule="auto"/>
        <w:ind w:firstLine="600"/>
        <w:rPr>
          <w:rFonts w:ascii="仿宋" w:hAnsi="仿宋" w:cs="仿宋" w:hint="eastAsia"/>
          <w:lang w:eastAsia="zh-CN"/>
        </w:rPr>
      </w:pPr>
      <w:r>
        <w:rPr>
          <w:rFonts w:ascii="仿宋" w:hAnsi="仿宋" w:cs="仿宋" w:hint="eastAsia"/>
          <w:lang w:eastAsia="zh-CN"/>
        </w:rPr>
        <w:t>（三）依法依规完成纳税身份转换大连税务发布小规模纳税人达标登记一般纳税人合规典型案例</w:t>
      </w:r>
      <w:bookmarkEnd w:id="64"/>
    </w:p>
    <w:p w14:paraId="65412F53"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今年实施的《中华人民共和国增值税法实施条例》及其配套公告，对小规模纳税人达标登记一般纳税人的规则作出调整，明确年应征增值税销售额超过500万元标准的小规模纳税人，除特殊情形外，增值税一般纳税人的生效日期统一为超标当期1日。近日，国家税务总局大连市税务局发布多个小规模纳税人达标登记一般纳税人合规典型案例，引导广大</w:t>
      </w:r>
      <w:r>
        <w:rPr>
          <w:rFonts w:ascii="仿宋" w:hAnsi="仿宋" w:cs="仿宋"/>
          <w:color w:val="000000"/>
          <w:szCs w:val="28"/>
          <w:lang w:eastAsia="zh-CN"/>
        </w:rPr>
        <w:lastRenderedPageBreak/>
        <w:t>纳税人依法依规完成纳税身份转换，打通增值税抵扣链条，防范涉税风险，构建公平有序的税收秩序。</w:t>
      </w:r>
    </w:p>
    <w:p w14:paraId="10C16324" w14:textId="77777777" w:rsidR="00D937E9" w:rsidRDefault="00000000">
      <w:pPr>
        <w:widowControl w:val="0"/>
        <w:adjustRightInd w:val="0"/>
        <w:snapToGrid w:val="0"/>
        <w:spacing w:beforeLines="50" w:before="120" w:afterLines="50" w:after="120" w:line="360" w:lineRule="auto"/>
        <w:ind w:firstLine="562"/>
        <w:contextualSpacing/>
        <w:rPr>
          <w:rFonts w:ascii="仿宋" w:hAnsi="仿宋" w:cs="仿宋" w:hint="eastAsia"/>
          <w:b/>
          <w:bCs/>
          <w:color w:val="000000"/>
          <w:szCs w:val="28"/>
          <w:lang w:eastAsia="zh-CN"/>
        </w:rPr>
      </w:pPr>
      <w:r>
        <w:rPr>
          <w:rFonts w:ascii="仿宋" w:hAnsi="仿宋" w:cs="仿宋"/>
          <w:b/>
          <w:bCs/>
          <w:color w:val="000000"/>
          <w:szCs w:val="28"/>
          <w:lang w:eastAsia="zh-CN"/>
        </w:rPr>
        <w:t>准确计算月度收入锁定超标时点</w:t>
      </w:r>
    </w:p>
    <w:p w14:paraId="66050357"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大连梦衣商贸有限公司主营海味特产和海鲜礼盒销售，原属于按季申报增值税小规模纳税人。今年春节年货销售旺季，企业海鲜礼盒、烤鱼片等特产订单增多，截至今年一季度末，该企业连续12个月累计应税销售额突破500万元。企业经过认真核算，确认2026年3月累计销售额突破一般纳税人年度应税销售额标准，4月申报期内主动通过电子税务局提交增值税一般纳税人登记申请，以3月1日作为法定生效时点开展后续涉税核算工作。</w:t>
      </w:r>
    </w:p>
    <w:p w14:paraId="695E0156"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一般纳税人登记生效后，企业精准调整财务核算模式，实施每日资金流水与业务订单对账机制，确保所有收入均通过对公账户归集，与开具发票、出库单据一一对应，并同步梳理上游海产品供应商，规范索取增值税专用发票用于进项税额抵扣。</w:t>
      </w:r>
    </w:p>
    <w:p w14:paraId="56662D30"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同时，企业规范完成一季度税款分两段核算申报：1月—2月按小规模纳税人减按1%征收率计税并于4月申报期内补充申报，3月1日起按海产品13%税率核算销项，抵扣海产品采购、物流、包装等合规进项发票，完整留存购销合同、出库入库单等原始凭证，实现不同计税期间业务流、资金流、票据流全程可溯。</w:t>
      </w:r>
    </w:p>
    <w:p w14:paraId="28E06853"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此外，企业还进一步规范开具增值税专用发票的相关事项，满足更多大型商超、企业团购客户及电商平台的结算需求，为后续市场拓展打下坚实的财税合规基础。</w:t>
      </w:r>
    </w:p>
    <w:p w14:paraId="440F027B" w14:textId="77777777" w:rsidR="00D937E9" w:rsidRDefault="00000000">
      <w:pPr>
        <w:widowControl w:val="0"/>
        <w:adjustRightInd w:val="0"/>
        <w:snapToGrid w:val="0"/>
        <w:spacing w:beforeLines="50" w:before="120" w:afterLines="50" w:after="120" w:line="360" w:lineRule="auto"/>
        <w:ind w:firstLine="562"/>
        <w:contextualSpacing/>
        <w:rPr>
          <w:rFonts w:ascii="仿宋" w:hAnsi="仿宋" w:cs="仿宋" w:hint="eastAsia"/>
          <w:b/>
          <w:bCs/>
          <w:color w:val="000000"/>
          <w:szCs w:val="28"/>
          <w:lang w:eastAsia="zh-CN"/>
        </w:rPr>
      </w:pPr>
      <w:r>
        <w:rPr>
          <w:rFonts w:ascii="仿宋" w:hAnsi="仿宋" w:cs="仿宋"/>
          <w:b/>
          <w:bCs/>
          <w:color w:val="000000"/>
          <w:szCs w:val="28"/>
          <w:lang w:eastAsia="zh-CN"/>
        </w:rPr>
        <w:t>及时提交增值税身份转换申请</w:t>
      </w:r>
    </w:p>
    <w:p w14:paraId="0EDF09B8"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北京趣客通盈商务有限责任公司大连第三分公司属于玩具零售企业，开业初期按小规模纳税人管理。公司年累计销售额突破500万元后，按要求向税务部门提交一般纳税人登记申请，经税务部门审核核准，确定其</w:t>
      </w:r>
      <w:r>
        <w:rPr>
          <w:rFonts w:ascii="仿宋" w:hAnsi="仿宋" w:cs="仿宋"/>
          <w:color w:val="000000"/>
          <w:szCs w:val="28"/>
          <w:lang w:eastAsia="zh-CN"/>
        </w:rPr>
        <w:lastRenderedPageBreak/>
        <w:t>增值税一般纳税人资格自2026年4月1日起生效。</w:t>
      </w:r>
    </w:p>
    <w:p w14:paraId="1D8493F0"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在身份转换过程中，企业严格遵循规定，完成过渡期发票处理与纳税申报。完成一般纳税人资格登记后，企业从购进、销售、申报三个环节同步规范财税管理。在购进环节，优先与纳税缴费信用等级B级以上的供应商建立长期合作关系，建立采购业务“单据流、物流、发票流”三方交叉核验机制，确保票证齐全、账实相符。在销售环节，建立“税种、税目、税率”三比对机制，以开票系统为抓手，对照企业税收编码数据库，逐笔核对待开票商品的税收分类编码及适用税率，每周提取收银流水与开票明细进行双向比对，按月形成销售对账报告存档备查。在申报环节，企业按月归集进销项数据，逐项核验开票品名、税率与计税收入的匹配关系，确保申报表填报与账面数据一致。</w:t>
      </w:r>
    </w:p>
    <w:p w14:paraId="022C2B98"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企业完成一般纳税人身份转换后，月均销售额增幅超过15%，在依法纳税的基础上经营规模稳步扩大。</w:t>
      </w:r>
    </w:p>
    <w:p w14:paraId="73910BAE" w14:textId="77777777" w:rsidR="00D937E9" w:rsidRDefault="00000000">
      <w:pPr>
        <w:widowControl w:val="0"/>
        <w:adjustRightInd w:val="0"/>
        <w:snapToGrid w:val="0"/>
        <w:spacing w:beforeLines="50" w:before="120" w:afterLines="50" w:after="120" w:line="360" w:lineRule="auto"/>
        <w:ind w:firstLine="562"/>
        <w:contextualSpacing/>
        <w:rPr>
          <w:rFonts w:ascii="仿宋" w:hAnsi="仿宋" w:cs="仿宋" w:hint="eastAsia"/>
          <w:b/>
          <w:bCs/>
          <w:color w:val="000000"/>
          <w:szCs w:val="28"/>
          <w:lang w:eastAsia="zh-CN"/>
        </w:rPr>
      </w:pPr>
      <w:r>
        <w:rPr>
          <w:rFonts w:ascii="仿宋" w:hAnsi="仿宋" w:cs="仿宋"/>
          <w:b/>
          <w:bCs/>
          <w:color w:val="000000"/>
          <w:szCs w:val="28"/>
          <w:lang w:eastAsia="zh-CN"/>
        </w:rPr>
        <w:t>主动对接税务部门完成身份升级</w:t>
      </w:r>
    </w:p>
    <w:p w14:paraId="1E7A0B86"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大连东成筑业建设工程有限公司成立于2025年3月，成立初期因经营规模较小，按小规模纳税人规范开展涉税经营。</w:t>
      </w:r>
    </w:p>
    <w:p w14:paraId="4B18E115"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随着企业业务稳步拓展，今年4月初企业财务部门预算，按照企业确定的业务内容，5月该企业连续12个月累计应征增值税销售额将突破500万元，达到一般纳税人登记标准。企业财务人员主动联系税务部门咨询过渡期政策和转型操作流程，明确了以超标当期1日作为一般纳税人生效节点的法定规则，并提前规范前端采购流程、筛选可开具专票的供应商。</w:t>
      </w:r>
    </w:p>
    <w:p w14:paraId="147FAE76"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企业5月达到一般纳税人登记标准后，6月申报期按规定完成一般纳税人登记，确定一般纳税人生效时间为2026年5月1日，清晰划分过渡期计税界限。在前期精准预判、充分准备的基础上，登记为一般纳税人后，企业健全发票核验、凭证归档和进项抵扣内控机制，打通建筑行业进销项抵扣链条，实现平稳高效升级转变。一般纳税人的身份，让企业</w:t>
      </w:r>
      <w:r>
        <w:rPr>
          <w:rFonts w:ascii="仿宋" w:hAnsi="仿宋" w:cs="仿宋"/>
          <w:color w:val="000000"/>
          <w:szCs w:val="28"/>
          <w:lang w:eastAsia="zh-CN"/>
        </w:rPr>
        <w:lastRenderedPageBreak/>
        <w:t>在大型总包和市政项目上的中标机会显著增加。</w:t>
      </w:r>
    </w:p>
    <w:p w14:paraId="01549174" w14:textId="77777777" w:rsidR="00D937E9" w:rsidRDefault="00000000">
      <w:pPr>
        <w:widowControl w:val="0"/>
        <w:adjustRightInd w:val="0"/>
        <w:snapToGrid w:val="0"/>
        <w:spacing w:beforeLines="50" w:before="120" w:afterLines="50" w:after="120" w:line="360" w:lineRule="auto"/>
        <w:ind w:firstLine="562"/>
        <w:contextualSpacing/>
        <w:rPr>
          <w:rFonts w:ascii="仿宋" w:hAnsi="仿宋" w:cs="仿宋" w:hint="eastAsia"/>
          <w:b/>
          <w:bCs/>
          <w:color w:val="000000"/>
          <w:szCs w:val="28"/>
          <w:lang w:eastAsia="zh-CN"/>
        </w:rPr>
      </w:pPr>
      <w:r>
        <w:rPr>
          <w:rFonts w:ascii="仿宋" w:hAnsi="仿宋" w:cs="仿宋"/>
          <w:b/>
          <w:bCs/>
          <w:color w:val="000000"/>
          <w:szCs w:val="28"/>
          <w:lang w:eastAsia="zh-CN"/>
        </w:rPr>
        <w:t>业务拓展与涉税合规同频共进</w:t>
      </w:r>
    </w:p>
    <w:p w14:paraId="245CC58A"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大连恩炜信息技术有限公司主营软件开发、技术服务与技术咨询业务，随着市场拓展，企业受限于小规模纳税人身份，无法满足客户进项发票需求，接连错失优质项目订单。为此，企业于2025年下半年全面筹备，主动构建实施研发导向全域涉税规范管理体系，系统推进财税合规全面升级，顺利于2026年1月1日登记为增值税一般纳税人。</w:t>
      </w:r>
    </w:p>
    <w:p w14:paraId="16131408"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在筹备过程中，该企业主动对接税务部门咨询转型政策与实操细节，重构发票管理、计税核算、纳税申报配套规则，建立价税分离台账，完整匹配一般计税核算链条；修订全流程发票管理办法，实行进销项闭环精细化管理，全面结清历史未开票收入，规范处理红冲、退货业务，精准区分转型前后发票抵扣时限，合规留抵、有序抵扣。该企业还升级采用适配科创企业研发导向的业财一体化财务软件，打通研发、生产、财务全链路，围绕“研发费用立项、研发耗材费用归集、技术成果转化”全周期，制定研发费用归集管理办法，进项核算时逐一查验，确保研发费用分摊合理、归集有序；业务衔接上，实施“前置化”涉税风险管控，把涉税审核嵌入采购、签约、付款全环节，推行“合同预审+发票比对+凭证匹配”三重审核机制，严格保障发票与合同、资金、业务“四流一致”，从制度源头防范涉税风险。同时，该企业升级风险监测模式，实现涉税风险动态分类提醒，结合公司科创业务特点优化风险监测台账与自查流程，构建长效涉税风险防控机制。</w:t>
      </w:r>
    </w:p>
    <w:p w14:paraId="74F42E2A" w14:textId="77777777" w:rsidR="00D937E9" w:rsidRDefault="00000000">
      <w:pPr>
        <w:widowControl w:val="0"/>
        <w:adjustRightInd w:val="0"/>
        <w:snapToGrid w:val="0"/>
        <w:spacing w:beforeLines="50" w:before="120" w:afterLines="50" w:after="120" w:line="360" w:lineRule="auto"/>
        <w:ind w:firstLine="562"/>
        <w:contextualSpacing/>
        <w:rPr>
          <w:rFonts w:ascii="仿宋" w:hAnsi="仿宋" w:cs="仿宋" w:hint="eastAsia"/>
          <w:b/>
          <w:bCs/>
          <w:color w:val="000000"/>
          <w:szCs w:val="28"/>
          <w:lang w:eastAsia="zh-CN"/>
        </w:rPr>
      </w:pPr>
      <w:r>
        <w:rPr>
          <w:rFonts w:ascii="仿宋" w:hAnsi="仿宋" w:cs="仿宋"/>
          <w:b/>
          <w:bCs/>
          <w:color w:val="000000"/>
          <w:szCs w:val="28"/>
          <w:lang w:eastAsia="zh-CN"/>
        </w:rPr>
        <w:t>构建流程闭环的财税内控体系</w:t>
      </w:r>
    </w:p>
    <w:p w14:paraId="569BECBE"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大连振山畜牧业有限公司主营种禽孵化、养殖、收购、销售业务。与众多农业企业类似，该企业面临上游采购对象分散、成本归集链条长、投入产出周期差异大等难题，易出现成本核算粗放、税前扣除依据不全、进项税额抵扣不规范等涉税风险。</w:t>
      </w:r>
    </w:p>
    <w:p w14:paraId="36D61169"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lastRenderedPageBreak/>
        <w:t>2026年1月，该企业主动对标增值税法开展合规自查，发现连续12个月应税销售额（含免税收入）超过500万元后，主动申请并于2026年1月完成一般纳税人登记手续，生效日期为1月1日。</w:t>
      </w:r>
    </w:p>
    <w:p w14:paraId="4D66C18F" w14:textId="77777777" w:rsidR="00D937E9" w:rsidRDefault="00000000">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r>
        <w:rPr>
          <w:rFonts w:ascii="仿宋" w:hAnsi="仿宋" w:cs="仿宋"/>
          <w:color w:val="000000"/>
          <w:szCs w:val="28"/>
          <w:lang w:eastAsia="zh-CN"/>
        </w:rPr>
        <w:t>为了确保税务合规，该企业构建“源头管控+环节核算+闭环对账”的财税内控体系。严把财务核算关口，企业聘请专业会计并引入财务软件，自主设计分环节成本核算制度，按孵化成本、饲养成本、收购成本、销售费用四大板块分类归集，确保每一笔收支有据可查、有账可对。严抓发票管理两端，针对上游对接大量农户、下游对接商超和食品加工企业的实际，企业坚持“购进有票、销售有据”双向管控，在收购环节逐户建立农户信息档案，做到票货相符、票款一致；在销售环节全面规范销项发票开具，确保交易主体、货物信息、金额价款、时间逻辑全面对应。严查日常风险要点，企业主动将风险排查嵌入日常经营，每月开展发票开具明细与银行收款流水双向核对，同步建立财务数据与业务数据月度对账报告存档制度，形成“业务发生—票据流转—资金回笼—申报纳税”全链条闭环，从机制层面杜绝收入漏记、成本虚列、申报不实等合规隐患，企业纳税遵从意识和管理精细化水平大幅提升。</w:t>
      </w:r>
    </w:p>
    <w:p w14:paraId="7A1C71AC" w14:textId="77777777" w:rsidR="00D937E9" w:rsidRDefault="00D937E9">
      <w:pPr>
        <w:widowControl w:val="0"/>
        <w:adjustRightInd w:val="0"/>
        <w:snapToGrid w:val="0"/>
        <w:spacing w:beforeLines="50" w:before="120" w:afterLines="50" w:after="120" w:line="360" w:lineRule="auto"/>
        <w:ind w:firstLine="560"/>
        <w:contextualSpacing/>
        <w:rPr>
          <w:rFonts w:ascii="仿宋" w:hAnsi="仿宋" w:cs="仿宋" w:hint="eastAsia"/>
          <w:color w:val="000000"/>
          <w:szCs w:val="28"/>
          <w:lang w:eastAsia="zh-CN"/>
        </w:rPr>
      </w:pPr>
    </w:p>
    <w:p w14:paraId="3041D4D0" w14:textId="77777777" w:rsidR="00D937E9" w:rsidRDefault="00000000">
      <w:pPr>
        <w:pStyle w:val="aa"/>
        <w:spacing w:beforeLines="50" w:before="120" w:beforeAutospacing="0" w:afterLines="50" w:after="120" w:afterAutospacing="0"/>
        <w:ind w:firstLine="560"/>
        <w:jc w:val="right"/>
        <w:rPr>
          <w:rFonts w:ascii="仿宋" w:hAnsi="仿宋" w:cs="仿宋" w:hint="eastAsia"/>
          <w:color w:val="333333"/>
          <w:sz w:val="28"/>
          <w:szCs w:val="28"/>
          <w:shd w:val="clear" w:color="auto" w:fill="FFFFFF"/>
        </w:rPr>
      </w:pPr>
      <w:r>
        <w:rPr>
          <w:rFonts w:ascii="仿宋" w:hAnsi="仿宋" w:cs="仿宋"/>
          <w:color w:val="333333"/>
          <w:sz w:val="28"/>
          <w:szCs w:val="28"/>
          <w:shd w:val="clear" w:color="auto" w:fill="FFFFFF"/>
        </w:rPr>
        <w:t>来源：中国税务报</w:t>
      </w:r>
    </w:p>
    <w:p w14:paraId="688DF6D1" w14:textId="77777777" w:rsidR="00D937E9" w:rsidRDefault="00000000">
      <w:pPr>
        <w:widowControl w:val="0"/>
        <w:snapToGrid w:val="0"/>
        <w:spacing w:beforeLines="50" w:before="120" w:afterLines="50" w:after="120"/>
        <w:ind w:firstLine="560"/>
        <w:contextualSpacing/>
        <w:jc w:val="right"/>
        <w:rPr>
          <w:rFonts w:ascii="仿宋" w:hAnsi="仿宋" w:cs="仿宋" w:hint="eastAsia"/>
          <w:color w:val="000000"/>
          <w:szCs w:val="28"/>
          <w:lang w:eastAsia="zh-CN"/>
        </w:rPr>
      </w:pPr>
      <w:r>
        <w:rPr>
          <w:rFonts w:ascii="仿宋" w:hAnsi="仿宋" w:cs="仿宋"/>
          <w:color w:val="333333"/>
          <w:szCs w:val="28"/>
          <w:shd w:val="clear" w:color="auto" w:fill="FFFFFF"/>
          <w:lang w:eastAsia="zh-CN"/>
        </w:rPr>
        <w:t>时间：2026-0</w:t>
      </w:r>
      <w:r>
        <w:rPr>
          <w:rFonts w:ascii="仿宋" w:hAnsi="仿宋" w:cs="仿宋" w:hint="eastAsia"/>
          <w:color w:val="333333"/>
          <w:szCs w:val="28"/>
          <w:shd w:val="clear" w:color="auto" w:fill="FFFFFF"/>
          <w:lang w:eastAsia="zh-CN"/>
        </w:rPr>
        <w:t>8</w:t>
      </w:r>
      <w:r>
        <w:rPr>
          <w:rFonts w:ascii="仿宋" w:hAnsi="仿宋" w:cs="仿宋"/>
          <w:color w:val="333333"/>
          <w:szCs w:val="28"/>
          <w:shd w:val="clear" w:color="auto" w:fill="FFFFFF"/>
          <w:lang w:eastAsia="zh-CN"/>
        </w:rPr>
        <w:t>-</w:t>
      </w:r>
      <w:r>
        <w:rPr>
          <w:rFonts w:ascii="仿宋" w:hAnsi="仿宋" w:cs="仿宋" w:hint="eastAsia"/>
          <w:color w:val="333333"/>
          <w:szCs w:val="28"/>
          <w:shd w:val="clear" w:color="auto" w:fill="FFFFFF"/>
          <w:lang w:eastAsia="zh-CN"/>
        </w:rPr>
        <w:t>03</w:t>
      </w:r>
    </w:p>
    <w:p w14:paraId="2942A62A" w14:textId="77777777" w:rsidR="00D937E9" w:rsidRDefault="00D937E9">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p>
    <w:p w14:paraId="7CED64DB" w14:textId="77777777" w:rsidR="00D937E9"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r>
        <w:rPr>
          <w:rFonts w:ascii="楷体" w:eastAsia="楷体" w:hAnsi="楷体" w:cs="楷体" w:hint="eastAsia"/>
          <w:snapToGrid w:val="0"/>
          <w:color w:val="000000"/>
          <w:szCs w:val="28"/>
          <w:lang w:eastAsia="zh-CN"/>
        </w:rPr>
        <w:t>本期税法速递编写小组</w:t>
      </w:r>
    </w:p>
    <w:p w14:paraId="3A433054" w14:textId="77777777" w:rsidR="00D937E9"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r>
        <w:rPr>
          <w:rFonts w:ascii="楷体" w:eastAsia="楷体" w:hAnsi="楷体" w:cs="楷体" w:hint="eastAsia"/>
          <w:snapToGrid w:val="0"/>
          <w:color w:val="000000"/>
          <w:szCs w:val="28"/>
          <w:lang w:eastAsia="zh-CN"/>
        </w:rPr>
        <w:t>总编：李鹏翔</w:t>
      </w:r>
    </w:p>
    <w:p w14:paraId="3EA1C947" w14:textId="77777777" w:rsidR="00D937E9"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r>
        <w:rPr>
          <w:rFonts w:ascii="楷体" w:eastAsia="楷体" w:hAnsi="楷体" w:cs="楷体" w:hint="eastAsia"/>
          <w:snapToGrid w:val="0"/>
          <w:color w:val="000000"/>
          <w:szCs w:val="28"/>
          <w:lang w:eastAsia="zh-CN"/>
        </w:rPr>
        <w:t>复审：曾淑娟</w:t>
      </w:r>
    </w:p>
    <w:p w14:paraId="5FB37C90" w14:textId="77777777" w:rsidR="00D937E9"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r>
        <w:rPr>
          <w:rFonts w:ascii="楷体" w:eastAsia="楷体" w:hAnsi="楷体" w:cs="楷体" w:hint="eastAsia"/>
          <w:snapToGrid w:val="0"/>
          <w:color w:val="000000"/>
          <w:szCs w:val="28"/>
          <w:lang w:eastAsia="zh-CN"/>
        </w:rPr>
        <w:t>初审：贾  峰</w:t>
      </w:r>
    </w:p>
    <w:p w14:paraId="03BE7D01" w14:textId="77777777" w:rsidR="00D937E9" w:rsidRDefault="00000000">
      <w:pPr>
        <w:kinsoku w:val="0"/>
        <w:autoSpaceDE w:val="0"/>
        <w:autoSpaceDN w:val="0"/>
        <w:adjustRightInd w:val="0"/>
        <w:snapToGrid w:val="0"/>
        <w:spacing w:beforeLines="50" w:before="120" w:afterLines="50" w:after="120"/>
        <w:ind w:firstLineChars="0" w:firstLine="0"/>
        <w:jc w:val="left"/>
        <w:textAlignment w:val="baseline"/>
        <w:rPr>
          <w:rFonts w:ascii="楷体" w:eastAsia="楷体" w:hAnsi="楷体" w:cs="楷体" w:hint="eastAsia"/>
          <w:snapToGrid w:val="0"/>
          <w:color w:val="000000"/>
          <w:szCs w:val="28"/>
          <w:lang w:eastAsia="zh-CN"/>
        </w:rPr>
      </w:pPr>
      <w:r>
        <w:rPr>
          <w:rFonts w:ascii="楷体" w:eastAsia="楷体" w:hAnsi="楷体" w:cs="楷体" w:hint="eastAsia"/>
          <w:snapToGrid w:val="0"/>
          <w:color w:val="000000"/>
          <w:szCs w:val="28"/>
          <w:lang w:eastAsia="zh-CN"/>
        </w:rPr>
        <w:t>编辑：杨好丽</w:t>
      </w:r>
    </w:p>
    <w:sectPr w:rsidR="00D937E9">
      <w:footerReference w:type="default" r:id="rId18"/>
      <w:pgSz w:w="11910" w:h="16840"/>
      <w:pgMar w:top="1380" w:right="1502" w:bottom="1160" w:left="1451" w:header="947" w:footer="97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5B833" w14:textId="77777777" w:rsidR="00B749CF" w:rsidRDefault="00B749CF">
      <w:pPr>
        <w:spacing w:line="240" w:lineRule="auto"/>
        <w:ind w:firstLine="560"/>
      </w:pPr>
      <w:r>
        <w:separator/>
      </w:r>
    </w:p>
  </w:endnote>
  <w:endnote w:type="continuationSeparator" w:id="0">
    <w:p w14:paraId="596109B7" w14:textId="77777777" w:rsidR="00B749CF" w:rsidRDefault="00B749CF">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Times New Roman (正文 CS 字体)">
    <w:altName w:val="宋体"/>
    <w:charset w:val="86"/>
    <w:family w:val="roman"/>
    <w:pitch w:val="default"/>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1"/>
    </w:sdtPr>
    <w:sdtContent>
      <w:p w14:paraId="496036F1" w14:textId="77777777" w:rsidR="00D937E9" w:rsidRDefault="00000000">
        <w:pPr>
          <w:pStyle w:val="a6"/>
          <w:framePr w:wrap="auto" w:vAnchor="text" w:hAnchor="margin" w:xAlign="center" w:y="1"/>
          <w:ind w:firstLine="360"/>
          <w:rPr>
            <w:rStyle w:val="ab"/>
          </w:rPr>
        </w:pPr>
        <w:r>
          <w:rPr>
            <w:rStyle w:val="ab"/>
          </w:rPr>
          <w:fldChar w:fldCharType="begin"/>
        </w:r>
        <w:r>
          <w:rPr>
            <w:rStyle w:val="ab"/>
          </w:rPr>
          <w:instrText xml:space="preserve"> PAGE </w:instrText>
        </w:r>
        <w:r>
          <w:rPr>
            <w:rStyle w:val="ab"/>
          </w:rPr>
          <w:fldChar w:fldCharType="end"/>
        </w:r>
      </w:p>
    </w:sdtContent>
  </w:sdt>
  <w:p w14:paraId="0B289984" w14:textId="77777777" w:rsidR="00D937E9" w:rsidRDefault="00D937E9">
    <w:pPr>
      <w:pStyle w:val="a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96C61" w14:textId="77777777" w:rsidR="00D937E9" w:rsidRDefault="00D937E9">
    <w:pPr>
      <w:pStyle w:val="a6"/>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986257761"/>
    </w:sdtPr>
    <w:sdtContent>
      <w:p w14:paraId="7A942781" w14:textId="77777777" w:rsidR="00D937E9" w:rsidRDefault="00000000">
        <w:pPr>
          <w:pStyle w:val="a6"/>
          <w:framePr w:wrap="auto" w:vAnchor="text" w:hAnchor="margin" w:xAlign="center" w:y="1"/>
          <w:ind w:firstLine="360"/>
          <w:rPr>
            <w:rStyle w:val="ab"/>
          </w:rPr>
        </w:pPr>
        <w:r>
          <w:rPr>
            <w:rStyle w:val="ab"/>
          </w:rPr>
          <w:fldChar w:fldCharType="begin"/>
        </w:r>
        <w:r>
          <w:rPr>
            <w:rStyle w:val="ab"/>
          </w:rPr>
          <w:instrText xml:space="preserve"> PAGE </w:instrText>
        </w:r>
        <w:r>
          <w:rPr>
            <w:rStyle w:val="ab"/>
          </w:rPr>
          <w:fldChar w:fldCharType="separate"/>
        </w:r>
        <w:r>
          <w:rPr>
            <w:rStyle w:val="ab"/>
          </w:rPr>
          <w:t>1</w:t>
        </w:r>
        <w:r>
          <w:rPr>
            <w:rStyle w:val="ab"/>
          </w:rPr>
          <w:fldChar w:fldCharType="end"/>
        </w:r>
      </w:p>
    </w:sdtContent>
  </w:sdt>
  <w:p w14:paraId="20BC7162" w14:textId="77777777" w:rsidR="00D937E9" w:rsidRDefault="00D937E9">
    <w:pPr>
      <w:pStyle w:val="a6"/>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A7486" w14:textId="77777777" w:rsidR="00D937E9" w:rsidRDefault="00D937E9">
    <w:pPr>
      <w:tabs>
        <w:tab w:val="left" w:pos="3126"/>
      </w:tabs>
      <w:spacing w:line="14" w:lineRule="auto"/>
      <w:ind w:firstLine="400"/>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DF33" w14:textId="77777777" w:rsidR="00D937E9" w:rsidRDefault="00000000">
    <w:pPr>
      <w:tabs>
        <w:tab w:val="left" w:pos="3126"/>
      </w:tabs>
      <w:spacing w:line="14" w:lineRule="auto"/>
      <w:ind w:firstLine="400"/>
      <w:rPr>
        <w:sz w:val="20"/>
        <w:szCs w:val="20"/>
      </w:rPr>
    </w:pPr>
    <w:r>
      <w:rPr>
        <w:noProof/>
        <w:sz w:val="20"/>
      </w:rPr>
      <mc:AlternateContent>
        <mc:Choice Requires="wps">
          <w:drawing>
            <wp:anchor distT="0" distB="0" distL="114300" distR="114300" simplePos="0" relativeHeight="251661312" behindDoc="0" locked="0" layoutInCell="1" allowOverlap="1" wp14:anchorId="03C09A47" wp14:editId="0EEB3950">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CDCAD1" w14:textId="77777777" w:rsidR="00D937E9" w:rsidRDefault="00000000">
                          <w:pPr>
                            <w:pStyle w:val="a6"/>
                            <w:ind w:firstLine="360"/>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t>34</w:t>
                            </w:r>
                          </w:fldSimple>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DAAF4EC">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C5CB3" w14:textId="77777777" w:rsidR="00B749CF" w:rsidRDefault="00B749CF">
      <w:pPr>
        <w:spacing w:line="240" w:lineRule="auto"/>
        <w:ind w:firstLine="560"/>
      </w:pPr>
      <w:r>
        <w:separator/>
      </w:r>
    </w:p>
  </w:footnote>
  <w:footnote w:type="continuationSeparator" w:id="0">
    <w:p w14:paraId="6C3F9868" w14:textId="77777777" w:rsidR="00B749CF" w:rsidRDefault="00B749CF">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69FED" w14:textId="77777777" w:rsidR="00D937E9" w:rsidRDefault="00D937E9">
    <w:pPr>
      <w:pStyle w:val="a8"/>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1906" w14:textId="77777777" w:rsidR="00D937E9" w:rsidRDefault="00000000">
    <w:pPr>
      <w:spacing w:line="14" w:lineRule="auto"/>
      <w:ind w:firstLine="560"/>
      <w:rPr>
        <w:sz w:val="20"/>
        <w:szCs w:val="20"/>
      </w:rPr>
    </w:pPr>
    <w:r>
      <w:rPr>
        <w:noProof/>
      </w:rPr>
      <mc:AlternateContent>
        <mc:Choice Requires="wps">
          <w:drawing>
            <wp:anchor distT="0" distB="0" distL="114300" distR="114300" simplePos="0" relativeHeight="251660288" behindDoc="1" locked="0" layoutInCell="1" allowOverlap="1" wp14:anchorId="634ECBB2" wp14:editId="60E9499F">
              <wp:simplePos x="0" y="0"/>
              <wp:positionH relativeFrom="page">
                <wp:posOffset>2270760</wp:posOffset>
              </wp:positionH>
              <wp:positionV relativeFrom="page">
                <wp:posOffset>614680</wp:posOffset>
              </wp:positionV>
              <wp:extent cx="3266440" cy="186690"/>
              <wp:effectExtent l="0" t="0" r="10160" b="3810"/>
              <wp:wrapNone/>
              <wp:docPr id="25" name="Text Box 8"/>
              <wp:cNvGraphicFramePr/>
              <a:graphic xmlns:a="http://schemas.openxmlformats.org/drawingml/2006/main">
                <a:graphicData uri="http://schemas.microsoft.com/office/word/2010/wordprocessingShape">
                  <wps:wsp>
                    <wps:cNvSpPr txBox="1"/>
                    <wps:spPr bwMode="auto">
                      <a:xfrm>
                        <a:off x="0" y="0"/>
                        <a:ext cx="3266536" cy="186690"/>
                      </a:xfrm>
                      <a:prstGeom prst="rect">
                        <a:avLst/>
                      </a:prstGeom>
                      <a:noFill/>
                      <a:ln>
                        <a:noFill/>
                      </a:ln>
                    </wps:spPr>
                    <wps:txbx>
                      <w:txbxContent>
                        <w:p w14:paraId="5363D6C2" w14:textId="77777777" w:rsidR="00D937E9" w:rsidRDefault="00000000">
                          <w:pPr>
                            <w:spacing w:line="289" w:lineRule="exact"/>
                            <w:ind w:left="20" w:firstLineChars="0" w:firstLine="0"/>
                            <w:rPr>
                              <w:rFonts w:ascii="仿宋" w:hAnsi="仿宋" w:cs="仿宋" w:hint="eastAsia"/>
                              <w:sz w:val="24"/>
                              <w:szCs w:val="24"/>
                              <w:lang w:eastAsia="zh-CN"/>
                            </w:rPr>
                          </w:pPr>
                          <w:r>
                            <w:rPr>
                              <w:rFonts w:ascii="楷体" w:eastAsia="楷体" w:hAnsi="楷体" w:cs="楷体" w:hint="eastAsia"/>
                              <w:snapToGrid w:val="0"/>
                              <w:color w:val="000000"/>
                              <w:kern w:val="2"/>
                              <w:sz w:val="24"/>
                              <w:szCs w:val="24"/>
                              <w:lang w:eastAsia="zh-CN"/>
                            </w:rPr>
                            <w:t>河南省律师协会税收法律专业委员会｜税法速递</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Text Box 8" o:spid="_x0000_s1026" o:spt="202" type="#_x0000_t202" style="position:absolute;left:0pt;margin-left:178.8pt;margin-top:48.4pt;height:14.7pt;width:257.2pt;mso-position-horizontal-relative:page;mso-position-vertical-relative:page;z-index:-251656192;mso-width-relative:page;mso-height-relative:page;" filled="f" stroked="f" coordsize="21600,21600" o:gfxdata="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Ev0wSNkA&#10;AAAKAQAADwAAAAAAAAABACAAAAAiAAAAZHJzL2Rvd25yZXYueG1sUEsBAhQAFAAAAAgAh07iQNEz&#10;lGrlAQAA1QMAAA4AAAAAAAAAAQAgAAAAKAEAAGRycy9lMm9Eb2MueG1sUEsFBgAAAAAGAAYAWQEA&#10;AH8FAAAAAA==&#10;">
              <v:fill on="f" focussize="0,0"/>
              <v:stroke on="f"/>
              <v:imagedata o:title=""/>
              <o:lock v:ext="edit" aspectratio="f"/>
              <v:textbox inset="0mm,0mm,0mm,0mm">
                <w:txbxContent>
                  <w:p w14:paraId="196D12CB">
                    <w:pPr>
                      <w:spacing w:line="289" w:lineRule="exact"/>
                      <w:ind w:left="20" w:firstLine="0" w:firstLineChars="0"/>
                      <w:rPr>
                        <w:rFonts w:ascii="仿宋" w:hAnsi="仿宋" w:cs="仿宋"/>
                        <w:sz w:val="24"/>
                        <w:szCs w:val="24"/>
                        <w:lang w:eastAsia="zh-CN"/>
                      </w:rPr>
                    </w:pPr>
                    <w:r>
                      <w:rPr>
                        <w:rFonts w:hint="eastAsia" w:ascii="楷体" w:hAnsi="楷体" w:eastAsia="楷体" w:cs="楷体"/>
                        <w:snapToGrid w:val="0"/>
                        <w:color w:val="000000"/>
                        <w:kern w:val="2"/>
                        <w:sz w:val="24"/>
                        <w:szCs w:val="24"/>
                        <w:lang w:eastAsia="zh-CN"/>
                      </w:rPr>
                      <w:t>河南省律师协会税收法律专业委员会｜税法速递</w:t>
                    </w:r>
                  </w:p>
                </w:txbxContent>
              </v:textbox>
            </v:shape>
          </w:pict>
        </mc:Fallback>
      </mc:AlternateContent>
    </w:r>
    <w:r>
      <w:rPr>
        <w:noProof/>
      </w:rPr>
      <mc:AlternateContent>
        <mc:Choice Requires="wpg">
          <w:drawing>
            <wp:anchor distT="0" distB="0" distL="114300" distR="114300" simplePos="0" relativeHeight="251659264" behindDoc="1" locked="0" layoutInCell="1" allowOverlap="1" wp14:anchorId="70BA506B" wp14:editId="36AC1C25">
              <wp:simplePos x="0" y="0"/>
              <wp:positionH relativeFrom="page">
                <wp:posOffset>1143000</wp:posOffset>
              </wp:positionH>
              <wp:positionV relativeFrom="page">
                <wp:posOffset>873125</wp:posOffset>
              </wp:positionV>
              <wp:extent cx="5269865" cy="1270"/>
              <wp:effectExtent l="0" t="0" r="635" b="0"/>
              <wp:wrapNone/>
              <wp:docPr id="26" name="Group 9"/>
              <wp:cNvGraphicFramePr/>
              <a:graphic xmlns:a="http://schemas.openxmlformats.org/drawingml/2006/main">
                <a:graphicData uri="http://schemas.microsoft.com/office/word/2010/wordprocessingGroup">
                  <wpg:wgp>
                    <wpg:cNvGrpSpPr/>
                    <wpg:grpSpPr>
                      <a:xfrm>
                        <a:off x="0" y="0"/>
                        <a:ext cx="5269865" cy="1270"/>
                        <a:chOff x="1800" y="1375"/>
                        <a:chExt cx="8299" cy="2"/>
                      </a:xfrm>
                    </wpg:grpSpPr>
                    <wps:wsp>
                      <wps:cNvPr id="27" name="Freeform 10"/>
                      <wps:cNvSpPr/>
                      <wps:spPr bwMode="auto">
                        <a:xfrm>
                          <a:off x="1800" y="1375"/>
                          <a:ext cx="8299" cy="2"/>
                        </a:xfrm>
                        <a:custGeom>
                          <a:avLst/>
                          <a:gdLst>
                            <a:gd name="T0" fmla="+- 0 1800 1800"/>
                            <a:gd name="T1" fmla="*/ T0 w 8299"/>
                            <a:gd name="T2" fmla="+- 0 10099 1800"/>
                            <a:gd name="T3" fmla="*/ T2 w 8299"/>
                          </a:gdLst>
                          <a:ahLst/>
                          <a:cxnLst>
                            <a:cxn ang="0">
                              <a:pos x="T1" y="0"/>
                            </a:cxn>
                            <a:cxn ang="0">
                              <a:pos x="T3" y="0"/>
                            </a:cxn>
                          </a:cxnLst>
                          <a:rect l="0" t="0" r="r" b="b"/>
                          <a:pathLst>
                            <a:path w="8299">
                              <a:moveTo>
                                <a:pt x="0" y="0"/>
                              </a:moveTo>
                              <a:lnTo>
                                <a:pt x="8299" y="0"/>
                              </a:lnTo>
                            </a:path>
                          </a:pathLst>
                        </a:custGeom>
                        <a:noFill/>
                        <a:ln w="9144">
                          <a:solidFill>
                            <a:srgbClr val="000000"/>
                          </a:solidFill>
                          <a:round/>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9" o:spid="_x0000_s1026" o:spt="203" style="position:absolute;left:0pt;margin-left:90pt;margin-top:68.75pt;height:0.1pt;width:414.95pt;mso-position-horizontal-relative:page;mso-position-vertical-relative:page;z-index:-251657216;mso-width-relative:page;mso-height-relative:page;" coordorigin="1800,1375" coordsize="8299,2" o:gfxdata="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">
              <o:lock v:ext="edit" aspectratio="f"/>
              <v:shape id="Freeform 10" o:spid="_x0000_s1026" o:spt="100" style="position:absolute;left:1800;top:1375;height:2;width:8299;" filled="f" stroked="t" coordsize="8299,1" o:gfxdata="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YCtEvQAA&#10;ANsAAAAPAAAAAAAAAAEAIAAAACIAAABkcnMvZG93bnJldi54bWxQSwECFAAUAAAACACHTuJAMy8F&#10;njsAAAA5AAAAEAAAAAAAAAABACAAAAAMAQAAZHJzL3NoYXBleG1sLnhtbFBLBQYAAAAABgAGAFsB&#10;AAC2AwAAAAA=&#10;" path="m0,0l8299,0e">
                <v:path o:connectlocs="0,0;8299,0" o:connectangles="0,0"/>
                <v:fill on="f" focussize="0,0"/>
                <v:stroke weight="0.72pt" color="#000000" joinstyle="round"/>
                <v:imagedata o:title=""/>
                <o:lock v:ext="edit" aspectratio="f"/>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FC6A2" w14:textId="77777777" w:rsidR="00D937E9" w:rsidRDefault="00D937E9">
    <w:pPr>
      <w:pStyle w:val="a8"/>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9A2AF2"/>
    <w:multiLevelType w:val="singleLevel"/>
    <w:tmpl w:val="AA9A2AF2"/>
    <w:lvl w:ilvl="0">
      <w:start w:val="3"/>
      <w:numFmt w:val="chineseCounting"/>
      <w:suff w:val="nothing"/>
      <w:lvlText w:val="%1、"/>
      <w:lvlJc w:val="left"/>
      <w:rPr>
        <w:rFonts w:hint="eastAsia"/>
      </w:rPr>
    </w:lvl>
  </w:abstractNum>
  <w:abstractNum w:abstractNumId="1" w15:restartNumberingAfterBreak="0">
    <w:nsid w:val="F4B96F5A"/>
    <w:multiLevelType w:val="singleLevel"/>
    <w:tmpl w:val="F4B96F5A"/>
    <w:lvl w:ilvl="0">
      <w:start w:val="2"/>
      <w:numFmt w:val="chineseCounting"/>
      <w:suff w:val="nothing"/>
      <w:lvlText w:val="%1、"/>
      <w:lvlJc w:val="left"/>
      <w:rPr>
        <w:rFonts w:hint="eastAsia"/>
      </w:rPr>
    </w:lvl>
  </w:abstractNum>
  <w:abstractNum w:abstractNumId="2" w15:restartNumberingAfterBreak="0">
    <w:nsid w:val="5E64CB4E"/>
    <w:multiLevelType w:val="singleLevel"/>
    <w:tmpl w:val="5E64CB4E"/>
    <w:lvl w:ilvl="0">
      <w:start w:val="1"/>
      <w:numFmt w:val="chineseCounting"/>
      <w:suff w:val="nothing"/>
      <w:lvlText w:val="%1、"/>
      <w:lvlJc w:val="left"/>
      <w:rPr>
        <w:rFonts w:hint="eastAsia"/>
      </w:rPr>
    </w:lvl>
  </w:abstractNum>
  <w:num w:numId="1" w16cid:durableId="472990969">
    <w:abstractNumId w:val="2"/>
  </w:num>
  <w:num w:numId="2" w16cid:durableId="1581713866">
    <w:abstractNumId w:val="1"/>
  </w:num>
  <w:num w:numId="3" w16cid:durableId="2144496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YzNjBkOTgyNWQ1YTMxYzM3MzMwNWFiODNmOWIzYWMifQ=="/>
  </w:docVars>
  <w:rsids>
    <w:rsidRoot w:val="00B76B87"/>
    <w:rsid w:val="00007796"/>
    <w:rsid w:val="00011A93"/>
    <w:rsid w:val="00013908"/>
    <w:rsid w:val="0002553C"/>
    <w:rsid w:val="0008593E"/>
    <w:rsid w:val="000A354C"/>
    <w:rsid w:val="000C3BCC"/>
    <w:rsid w:val="000D526D"/>
    <w:rsid w:val="00123E75"/>
    <w:rsid w:val="00132F76"/>
    <w:rsid w:val="001352FB"/>
    <w:rsid w:val="00141F81"/>
    <w:rsid w:val="00143316"/>
    <w:rsid w:val="0018090B"/>
    <w:rsid w:val="001909EE"/>
    <w:rsid w:val="001D716F"/>
    <w:rsid w:val="00216942"/>
    <w:rsid w:val="002219A0"/>
    <w:rsid w:val="0024423A"/>
    <w:rsid w:val="00270EDB"/>
    <w:rsid w:val="002C5A60"/>
    <w:rsid w:val="002C69FB"/>
    <w:rsid w:val="002D7683"/>
    <w:rsid w:val="002E15ED"/>
    <w:rsid w:val="002F0622"/>
    <w:rsid w:val="00351135"/>
    <w:rsid w:val="00374B47"/>
    <w:rsid w:val="003960A4"/>
    <w:rsid w:val="00396DA6"/>
    <w:rsid w:val="003D72C3"/>
    <w:rsid w:val="00461C7D"/>
    <w:rsid w:val="004625E3"/>
    <w:rsid w:val="004724DB"/>
    <w:rsid w:val="00487A0C"/>
    <w:rsid w:val="00493170"/>
    <w:rsid w:val="004A4C53"/>
    <w:rsid w:val="004C13A2"/>
    <w:rsid w:val="004D0036"/>
    <w:rsid w:val="00571220"/>
    <w:rsid w:val="0057608E"/>
    <w:rsid w:val="0057766F"/>
    <w:rsid w:val="005B5FB7"/>
    <w:rsid w:val="005C2259"/>
    <w:rsid w:val="005D5F49"/>
    <w:rsid w:val="005E781D"/>
    <w:rsid w:val="005F6B93"/>
    <w:rsid w:val="005F7EAD"/>
    <w:rsid w:val="00603A3B"/>
    <w:rsid w:val="006323C0"/>
    <w:rsid w:val="0064756E"/>
    <w:rsid w:val="00664BED"/>
    <w:rsid w:val="00685DC6"/>
    <w:rsid w:val="006F24F1"/>
    <w:rsid w:val="0070062F"/>
    <w:rsid w:val="00722467"/>
    <w:rsid w:val="007266AF"/>
    <w:rsid w:val="0072785C"/>
    <w:rsid w:val="00743007"/>
    <w:rsid w:val="00754B66"/>
    <w:rsid w:val="00756646"/>
    <w:rsid w:val="00774D66"/>
    <w:rsid w:val="007870C1"/>
    <w:rsid w:val="007A24F0"/>
    <w:rsid w:val="007C2D1A"/>
    <w:rsid w:val="007E0471"/>
    <w:rsid w:val="007E08AA"/>
    <w:rsid w:val="007E3D5A"/>
    <w:rsid w:val="007E4B85"/>
    <w:rsid w:val="007F5939"/>
    <w:rsid w:val="00841B6D"/>
    <w:rsid w:val="00852BD9"/>
    <w:rsid w:val="00867293"/>
    <w:rsid w:val="00883F7A"/>
    <w:rsid w:val="00885EBE"/>
    <w:rsid w:val="008C03C1"/>
    <w:rsid w:val="008C17BF"/>
    <w:rsid w:val="008E4828"/>
    <w:rsid w:val="00905D50"/>
    <w:rsid w:val="00912C72"/>
    <w:rsid w:val="00947456"/>
    <w:rsid w:val="00967C74"/>
    <w:rsid w:val="00974DAB"/>
    <w:rsid w:val="00985A45"/>
    <w:rsid w:val="00994FD3"/>
    <w:rsid w:val="009B127C"/>
    <w:rsid w:val="009B1460"/>
    <w:rsid w:val="009D365D"/>
    <w:rsid w:val="00A0224F"/>
    <w:rsid w:val="00A111D8"/>
    <w:rsid w:val="00A114AD"/>
    <w:rsid w:val="00A148E9"/>
    <w:rsid w:val="00A223B0"/>
    <w:rsid w:val="00A23BFD"/>
    <w:rsid w:val="00A4480E"/>
    <w:rsid w:val="00A46331"/>
    <w:rsid w:val="00A65538"/>
    <w:rsid w:val="00A75274"/>
    <w:rsid w:val="00AB5051"/>
    <w:rsid w:val="00AE6B7A"/>
    <w:rsid w:val="00AF49D8"/>
    <w:rsid w:val="00B01284"/>
    <w:rsid w:val="00B34751"/>
    <w:rsid w:val="00B701E2"/>
    <w:rsid w:val="00B749CF"/>
    <w:rsid w:val="00B76B87"/>
    <w:rsid w:val="00B975E7"/>
    <w:rsid w:val="00BC41B9"/>
    <w:rsid w:val="00BF6761"/>
    <w:rsid w:val="00C04C52"/>
    <w:rsid w:val="00C16624"/>
    <w:rsid w:val="00C40874"/>
    <w:rsid w:val="00C531DE"/>
    <w:rsid w:val="00C6335D"/>
    <w:rsid w:val="00CA301D"/>
    <w:rsid w:val="00CA41A9"/>
    <w:rsid w:val="00CB70FD"/>
    <w:rsid w:val="00CC1279"/>
    <w:rsid w:val="00CC69A7"/>
    <w:rsid w:val="00CC72D5"/>
    <w:rsid w:val="00CD7164"/>
    <w:rsid w:val="00D07451"/>
    <w:rsid w:val="00D23EAC"/>
    <w:rsid w:val="00D3196C"/>
    <w:rsid w:val="00D74D43"/>
    <w:rsid w:val="00D908BB"/>
    <w:rsid w:val="00D937E9"/>
    <w:rsid w:val="00DB24A5"/>
    <w:rsid w:val="00DD1997"/>
    <w:rsid w:val="00DD5250"/>
    <w:rsid w:val="00DE09E4"/>
    <w:rsid w:val="00DE47FE"/>
    <w:rsid w:val="00DF6E34"/>
    <w:rsid w:val="00E32217"/>
    <w:rsid w:val="00E40751"/>
    <w:rsid w:val="00E43876"/>
    <w:rsid w:val="00E55976"/>
    <w:rsid w:val="00E66723"/>
    <w:rsid w:val="00E9140B"/>
    <w:rsid w:val="00EB3C95"/>
    <w:rsid w:val="00ED78FF"/>
    <w:rsid w:val="00EE1528"/>
    <w:rsid w:val="00EF1797"/>
    <w:rsid w:val="00EF451D"/>
    <w:rsid w:val="00F07463"/>
    <w:rsid w:val="00F409DE"/>
    <w:rsid w:val="00F630EA"/>
    <w:rsid w:val="00F726B7"/>
    <w:rsid w:val="00F91227"/>
    <w:rsid w:val="00F92759"/>
    <w:rsid w:val="00FB5470"/>
    <w:rsid w:val="00FF3D59"/>
    <w:rsid w:val="018C7B99"/>
    <w:rsid w:val="01BC1CF0"/>
    <w:rsid w:val="0A191492"/>
    <w:rsid w:val="0F737696"/>
    <w:rsid w:val="10FF0977"/>
    <w:rsid w:val="1417133F"/>
    <w:rsid w:val="14957CF6"/>
    <w:rsid w:val="17027861"/>
    <w:rsid w:val="19053D5D"/>
    <w:rsid w:val="19AF3B81"/>
    <w:rsid w:val="1BEE3761"/>
    <w:rsid w:val="1CE32C3E"/>
    <w:rsid w:val="1EA30F09"/>
    <w:rsid w:val="202E2120"/>
    <w:rsid w:val="232B5C53"/>
    <w:rsid w:val="2B7673BB"/>
    <w:rsid w:val="2B7F7943"/>
    <w:rsid w:val="2BE45586"/>
    <w:rsid w:val="2D2F201C"/>
    <w:rsid w:val="31020D6E"/>
    <w:rsid w:val="31C679AA"/>
    <w:rsid w:val="34F4274D"/>
    <w:rsid w:val="35916927"/>
    <w:rsid w:val="3BDE0249"/>
    <w:rsid w:val="3CD21679"/>
    <w:rsid w:val="3D7FA3CE"/>
    <w:rsid w:val="3DBD1C16"/>
    <w:rsid w:val="3E3830E7"/>
    <w:rsid w:val="3F979F1C"/>
    <w:rsid w:val="428C6766"/>
    <w:rsid w:val="454A6F85"/>
    <w:rsid w:val="48010C62"/>
    <w:rsid w:val="4BAD4AC6"/>
    <w:rsid w:val="4C72630D"/>
    <w:rsid w:val="4CC065F7"/>
    <w:rsid w:val="4E3B6A9B"/>
    <w:rsid w:val="52900707"/>
    <w:rsid w:val="5351718D"/>
    <w:rsid w:val="54110B00"/>
    <w:rsid w:val="54132462"/>
    <w:rsid w:val="558743BD"/>
    <w:rsid w:val="573D6761"/>
    <w:rsid w:val="577C0B01"/>
    <w:rsid w:val="5FE1007D"/>
    <w:rsid w:val="61D570DE"/>
    <w:rsid w:val="63E547BF"/>
    <w:rsid w:val="65C80A84"/>
    <w:rsid w:val="6ADF5D1A"/>
    <w:rsid w:val="6CB858A6"/>
    <w:rsid w:val="6F85477F"/>
    <w:rsid w:val="70CA0638"/>
    <w:rsid w:val="756D4255"/>
    <w:rsid w:val="75EE071E"/>
    <w:rsid w:val="768E6CF8"/>
    <w:rsid w:val="78952CAE"/>
    <w:rsid w:val="7D364FB1"/>
    <w:rsid w:val="7D7B0C16"/>
    <w:rsid w:val="7ECF50E5"/>
    <w:rsid w:val="9F6B52E2"/>
    <w:rsid w:val="B7DB4CEA"/>
    <w:rsid w:val="BEABB8AA"/>
    <w:rsid w:val="EDFB16B9"/>
    <w:rsid w:val="F1DAB65A"/>
    <w:rsid w:val="F97FFF04"/>
    <w:rsid w:val="FAFC029A"/>
    <w:rsid w:val="FDFF5E21"/>
    <w:rsid w:val="FEFEF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AD1FA"/>
  <w15:docId w15:val="{AF66C9A7-744B-43F2-9B2D-746AD330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460" w:lineRule="exact"/>
      <w:ind w:firstLineChars="200" w:firstLine="200"/>
      <w:jc w:val="both"/>
    </w:pPr>
    <w:rPr>
      <w:rFonts w:asciiTheme="minorHAnsi" w:eastAsia="仿宋" w:hAnsiTheme="minorHAnsi" w:cs="Times New Roman (正文 CS 字体)"/>
      <w:sz w:val="28"/>
      <w:szCs w:val="22"/>
      <w:lang w:eastAsia="en-US"/>
    </w:rPr>
  </w:style>
  <w:style w:type="paragraph" w:styleId="1">
    <w:name w:val="heading 1"/>
    <w:basedOn w:val="a"/>
    <w:next w:val="a"/>
    <w:uiPriority w:val="9"/>
    <w:qFormat/>
    <w:pPr>
      <w:spacing w:before="197"/>
      <w:ind w:firstLine="561"/>
      <w:jc w:val="left"/>
      <w:outlineLvl w:val="0"/>
    </w:pPr>
    <w:rPr>
      <w:rFonts w:ascii="仿宋" w:eastAsia="黑体" w:hAnsi="仿宋"/>
      <w:bCs/>
      <w:sz w:val="32"/>
      <w:szCs w:val="28"/>
      <w:lang w:eastAsia="zh-CN"/>
    </w:rPr>
  </w:style>
  <w:style w:type="paragraph" w:styleId="2">
    <w:name w:val="heading 2"/>
    <w:basedOn w:val="a"/>
    <w:next w:val="a"/>
    <w:link w:val="20"/>
    <w:uiPriority w:val="9"/>
    <w:unhideWhenUsed/>
    <w:qFormat/>
    <w:pPr>
      <w:keepNext/>
      <w:keepLines/>
      <w:spacing w:before="500" w:after="500" w:line="240" w:lineRule="auto"/>
      <w:jc w:val="left"/>
      <w:outlineLvl w:val="1"/>
    </w:pPr>
    <w:rPr>
      <w:rFonts w:asciiTheme="majorHAnsi" w:hAnsiTheme="majorHAnsi" w:cstheme="majorBidi"/>
      <w:bCs/>
      <w:sz w:val="30"/>
      <w:szCs w:val="32"/>
    </w:rPr>
  </w:style>
  <w:style w:type="paragraph" w:styleId="3">
    <w:name w:val="heading 3"/>
    <w:basedOn w:val="a"/>
    <w:next w:val="a"/>
    <w:uiPriority w:val="9"/>
    <w:unhideWhenUsed/>
    <w:qFormat/>
    <w:pPr>
      <w:spacing w:beforeAutospacing="1" w:afterAutospacing="1"/>
      <w:jc w:val="left"/>
      <w:outlineLvl w:val="2"/>
    </w:pPr>
    <w:rPr>
      <w:rFonts w:ascii="宋体" w:eastAsia="宋体" w:hAnsi="宋体" w:cs="Times New Roman" w:hint="eastAsia"/>
      <w:b/>
      <w:bCs/>
      <w:sz w:val="27"/>
      <w:szCs w:val="27"/>
      <w:lang w:eastAsia="zh-CN"/>
    </w:rPr>
  </w:style>
  <w:style w:type="paragraph" w:styleId="5">
    <w:name w:val="heading 5"/>
    <w:basedOn w:val="a"/>
    <w:next w:val="a"/>
    <w:uiPriority w:val="9"/>
    <w:semiHidden/>
    <w:unhideWhenUsed/>
    <w:qFormat/>
    <w:pPr>
      <w:spacing w:beforeAutospacing="1" w:afterAutospacing="1"/>
      <w:jc w:val="left"/>
      <w:outlineLvl w:val="4"/>
    </w:pPr>
    <w:rPr>
      <w:rFonts w:ascii="宋体" w:eastAsia="宋体" w:hAnsi="宋体" w:cs="Times New Roman" w:hint="eastAsia"/>
      <w:b/>
      <w:bCs/>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semiHidden/>
    <w:unhideWhenUsed/>
    <w:qFormat/>
    <w:pPr>
      <w:ind w:left="1680"/>
    </w:pPr>
    <w:rPr>
      <w:rFonts w:cstheme="minorHAnsi"/>
      <w:sz w:val="18"/>
      <w:szCs w:val="18"/>
    </w:rPr>
  </w:style>
  <w:style w:type="paragraph" w:styleId="a3">
    <w:name w:val="Body Text"/>
    <w:basedOn w:val="a"/>
    <w:uiPriority w:val="1"/>
    <w:qFormat/>
    <w:pPr>
      <w:spacing w:before="197"/>
      <w:ind w:left="120" w:firstLine="559"/>
    </w:pPr>
    <w:rPr>
      <w:rFonts w:ascii="仿宋" w:hAnsi="仿宋"/>
      <w:szCs w:val="28"/>
    </w:rPr>
  </w:style>
  <w:style w:type="paragraph" w:styleId="TOC5">
    <w:name w:val="toc 5"/>
    <w:basedOn w:val="a"/>
    <w:next w:val="a"/>
    <w:uiPriority w:val="39"/>
    <w:semiHidden/>
    <w:unhideWhenUsed/>
    <w:qFormat/>
    <w:pPr>
      <w:ind w:left="1120"/>
    </w:pPr>
    <w:rPr>
      <w:rFonts w:cstheme="minorHAnsi"/>
      <w:sz w:val="18"/>
      <w:szCs w:val="18"/>
    </w:rPr>
  </w:style>
  <w:style w:type="paragraph" w:styleId="TOC3">
    <w:name w:val="toc 3"/>
    <w:basedOn w:val="a"/>
    <w:next w:val="a"/>
    <w:uiPriority w:val="39"/>
    <w:unhideWhenUsed/>
    <w:qFormat/>
    <w:pPr>
      <w:ind w:left="560"/>
    </w:pPr>
    <w:rPr>
      <w:rFonts w:cstheme="minorHAnsi"/>
      <w:i/>
      <w:iCs/>
      <w:sz w:val="20"/>
      <w:szCs w:val="20"/>
    </w:rPr>
  </w:style>
  <w:style w:type="paragraph" w:styleId="TOC8">
    <w:name w:val="toc 8"/>
    <w:basedOn w:val="a"/>
    <w:next w:val="a"/>
    <w:uiPriority w:val="39"/>
    <w:semiHidden/>
    <w:unhideWhenUsed/>
    <w:qFormat/>
    <w:pPr>
      <w:ind w:left="1960"/>
    </w:pPr>
    <w:rPr>
      <w:rFonts w:cstheme="minorHAnsi"/>
      <w:sz w:val="18"/>
      <w:szCs w:val="18"/>
    </w:rPr>
  </w:style>
  <w:style w:type="paragraph" w:styleId="a4">
    <w:name w:val="Date"/>
    <w:basedOn w:val="a"/>
    <w:next w:val="a"/>
    <w:link w:val="a5"/>
    <w:uiPriority w:val="99"/>
    <w:semiHidden/>
    <w:unhideWhenUsed/>
    <w:qFormat/>
    <w:pPr>
      <w:ind w:leftChars="2500" w:left="100"/>
    </w:pPr>
  </w:style>
  <w:style w:type="paragraph" w:styleId="a6">
    <w:name w:val="footer"/>
    <w:basedOn w:val="a"/>
    <w:link w:val="a7"/>
    <w:uiPriority w:val="99"/>
    <w:unhideWhenUsed/>
    <w:qFormat/>
    <w:pPr>
      <w:tabs>
        <w:tab w:val="center" w:pos="4153"/>
        <w:tab w:val="right" w:pos="8306"/>
      </w:tabs>
      <w:spacing w:line="240" w:lineRule="auto"/>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pacing w:line="240" w:lineRule="auto"/>
      <w:jc w:val="center"/>
    </w:pPr>
    <w:rPr>
      <w:sz w:val="18"/>
      <w:szCs w:val="18"/>
    </w:rPr>
  </w:style>
  <w:style w:type="paragraph" w:styleId="TOC1">
    <w:name w:val="toc 1"/>
    <w:basedOn w:val="a"/>
    <w:next w:val="a"/>
    <w:uiPriority w:val="39"/>
    <w:unhideWhenUsed/>
    <w:qFormat/>
    <w:pPr>
      <w:spacing w:before="120" w:after="120"/>
    </w:pPr>
    <w:rPr>
      <w:rFonts w:cstheme="minorHAnsi"/>
      <w:b/>
      <w:bCs/>
      <w:caps/>
      <w:sz w:val="20"/>
      <w:szCs w:val="20"/>
    </w:rPr>
  </w:style>
  <w:style w:type="paragraph" w:styleId="TOC4">
    <w:name w:val="toc 4"/>
    <w:basedOn w:val="a"/>
    <w:next w:val="a"/>
    <w:uiPriority w:val="39"/>
    <w:semiHidden/>
    <w:unhideWhenUsed/>
    <w:qFormat/>
    <w:pPr>
      <w:ind w:left="840"/>
    </w:pPr>
    <w:rPr>
      <w:rFonts w:cstheme="minorHAnsi"/>
      <w:sz w:val="18"/>
      <w:szCs w:val="18"/>
    </w:rPr>
  </w:style>
  <w:style w:type="paragraph" w:styleId="TOC6">
    <w:name w:val="toc 6"/>
    <w:basedOn w:val="a"/>
    <w:next w:val="a"/>
    <w:uiPriority w:val="39"/>
    <w:semiHidden/>
    <w:unhideWhenUsed/>
    <w:qFormat/>
    <w:pPr>
      <w:ind w:left="1400"/>
    </w:pPr>
    <w:rPr>
      <w:rFonts w:cstheme="minorHAnsi"/>
      <w:sz w:val="18"/>
      <w:szCs w:val="18"/>
    </w:rPr>
  </w:style>
  <w:style w:type="paragraph" w:styleId="TOC2">
    <w:name w:val="toc 2"/>
    <w:basedOn w:val="a"/>
    <w:next w:val="a"/>
    <w:uiPriority w:val="39"/>
    <w:unhideWhenUsed/>
    <w:qFormat/>
    <w:pPr>
      <w:ind w:left="280"/>
    </w:pPr>
    <w:rPr>
      <w:rFonts w:cstheme="minorHAnsi"/>
      <w:smallCaps/>
      <w:sz w:val="20"/>
      <w:szCs w:val="20"/>
    </w:rPr>
  </w:style>
  <w:style w:type="paragraph" w:styleId="TOC9">
    <w:name w:val="toc 9"/>
    <w:basedOn w:val="a"/>
    <w:next w:val="a"/>
    <w:uiPriority w:val="39"/>
    <w:semiHidden/>
    <w:unhideWhenUsed/>
    <w:qFormat/>
    <w:pPr>
      <w:ind w:left="2240"/>
    </w:pPr>
    <w:rPr>
      <w:rFonts w:cstheme="minorHAnsi"/>
      <w:sz w:val="18"/>
      <w:szCs w:val="18"/>
    </w:rPr>
  </w:style>
  <w:style w:type="paragraph" w:styleId="aa">
    <w:name w:val="Normal (Web)"/>
    <w:basedOn w:val="a"/>
    <w:uiPriority w:val="99"/>
    <w:semiHidden/>
    <w:unhideWhenUsed/>
    <w:qFormat/>
    <w:pPr>
      <w:spacing w:beforeAutospacing="1" w:afterAutospacing="1"/>
      <w:jc w:val="left"/>
    </w:pPr>
    <w:rPr>
      <w:rFonts w:cs="Times New Roman"/>
      <w:sz w:val="24"/>
      <w:lang w:eastAsia="zh-CN"/>
    </w:rPr>
  </w:style>
  <w:style w:type="character" w:styleId="ab">
    <w:name w:val="page number"/>
    <w:basedOn w:val="a0"/>
    <w:uiPriority w:val="99"/>
    <w:semiHidden/>
    <w:unhideWhenUsed/>
    <w:qFormat/>
  </w:style>
  <w:style w:type="character" w:styleId="ac">
    <w:name w:val="Hyperlink"/>
    <w:basedOn w:val="a0"/>
    <w:uiPriority w:val="99"/>
    <w:unhideWhenUsed/>
    <w:qFormat/>
    <w:rPr>
      <w:color w:val="0000FF" w:themeColor="hyperlink"/>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d">
    <w:name w:val="List Paragraph"/>
    <w:basedOn w:val="a"/>
    <w:uiPriority w:val="1"/>
    <w:qFormat/>
  </w:style>
  <w:style w:type="paragraph" w:customStyle="1" w:styleId="TableParagraph">
    <w:name w:val="Table Paragraph"/>
    <w:basedOn w:val="a"/>
    <w:uiPriority w:val="1"/>
    <w:qFormat/>
  </w:style>
  <w:style w:type="paragraph" w:customStyle="1" w:styleId="TOC10">
    <w:name w:val="TOC 标题1"/>
    <w:basedOn w:val="1"/>
    <w:next w:val="a"/>
    <w:uiPriority w:val="39"/>
    <w:unhideWhenUsed/>
    <w:qFormat/>
    <w:pPr>
      <w:keepNext/>
      <w:keepLines/>
      <w:spacing w:before="480" w:line="276" w:lineRule="auto"/>
      <w:ind w:firstLine="0"/>
      <w:outlineLvl w:val="9"/>
    </w:pPr>
    <w:rPr>
      <w:rFonts w:asciiTheme="majorHAnsi" w:hAnsiTheme="majorHAnsi" w:cstheme="majorBidi"/>
      <w:color w:val="365F91" w:themeColor="accent1" w:themeShade="BF"/>
    </w:rPr>
  </w:style>
  <w:style w:type="character" w:customStyle="1" w:styleId="20">
    <w:name w:val="标题 2 字符"/>
    <w:basedOn w:val="a0"/>
    <w:link w:val="2"/>
    <w:uiPriority w:val="9"/>
    <w:qFormat/>
    <w:rPr>
      <w:rFonts w:asciiTheme="majorHAnsi" w:eastAsia="仿宋" w:hAnsiTheme="majorHAnsi" w:cstheme="majorBidi"/>
      <w:bCs/>
      <w:sz w:val="30"/>
      <w:szCs w:val="32"/>
    </w:rPr>
  </w:style>
  <w:style w:type="character" w:customStyle="1" w:styleId="a5">
    <w:name w:val="日期 字符"/>
    <w:basedOn w:val="a0"/>
    <w:link w:val="a4"/>
    <w:uiPriority w:val="99"/>
    <w:semiHidden/>
    <w:qFormat/>
    <w:rPr>
      <w:rFonts w:eastAsia="仿宋" w:cs="Times New Roman (正文 CS 字体)"/>
      <w:sz w:val="28"/>
    </w:rPr>
  </w:style>
  <w:style w:type="character" w:customStyle="1" w:styleId="a9">
    <w:name w:val="页眉 字符"/>
    <w:basedOn w:val="a0"/>
    <w:link w:val="a8"/>
    <w:uiPriority w:val="99"/>
    <w:qFormat/>
    <w:rPr>
      <w:rFonts w:eastAsia="仿宋" w:cs="Times New Roman (正文 CS 字体)"/>
      <w:sz w:val="18"/>
      <w:szCs w:val="18"/>
    </w:rPr>
  </w:style>
  <w:style w:type="character" w:customStyle="1" w:styleId="a7">
    <w:name w:val="页脚 字符"/>
    <w:basedOn w:val="a0"/>
    <w:link w:val="a6"/>
    <w:uiPriority w:val="99"/>
    <w:qFormat/>
    <w:rPr>
      <w:rFonts w:eastAsia="仿宋" w:cs="Times New Roman (正文 CS 字体)"/>
      <w:sz w:val="18"/>
      <w:szCs w:val="18"/>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2ced4901-15b3-48d1-ab86-11cf168c5d90</errorID>
      <errorWord>既</errorWord>
      <group>L1_Word</group>
      <groupName>字词问题</groupName>
      <ability>L2_Typo</ability>
      <abilityName>字词错误</abilityName>
      <candidateList>
        <item>既要</item>
      </candidateList>
      <explain/>
      <paraID>22EB2D75</paraID>
      <start>40</start>
      <end>41</end>
      <status>ignored</status>
      <modifiedWord/>
      <trackRevisions>false</trackRevisions>
    </reviewItem>
    <reviewItem>
      <errorID>14228693-6147-4bf2-a44c-5d42871217db</errorID>
      <errorWord>下</errorWord>
      <group>L1_Word</group>
      <groupName>字词问题</groupName>
      <ability>L2_Typo</ability>
      <abilityName>字词错误</abilityName>
      <candidateList>
        <item>下简</item>
      </candidateList>
      <explain/>
      <paraID> 39477F4</paraID>
      <start>13</start>
      <end>14</end>
      <status>ignored</status>
      <modifiedWord/>
      <trackRevisions>false</trackRevisions>
    </reviewItem>
    <reviewItem>
      <errorID>d8caff81-0001-4269-924c-2c383e5f922b</errorID>
      <errorWord>.</errorWord>
      <group>L1_Format</group>
      <groupName>格式问题</groupName>
      <ability>L2_HalfPunc_CN</ability>
      <abilityName>全半角问题</abilityName>
      <candidateList>
        <item>。</item>
      </candidateList>
      <explain>文本全半角错误。</explain>
      <paraID>434B06D8</paraID>
      <start>433</start>
      <end>434</end>
      <status>ignored</status>
      <modifiedWord/>
      <trackRevisions>false</trackRevisions>
    </reviewItem>
    <reviewItem>
      <errorID>c230e02e-27d1-4f8c-ada1-3ec77133f4a1</errorID>
      <errorWord>.</errorWord>
      <group>L1_Format</group>
      <groupName>格式问题</groupName>
      <ability>L2_HalfPunc_CN</ability>
      <abilityName>全半角问题</abilityName>
      <candidateList>
        <item>。</item>
      </candidateList>
      <explain>文本全半角错误。</explain>
      <paraID>305273DF</paraID>
      <start>430</start>
      <end>431</end>
      <status>ignored</status>
      <modifiedWord/>
      <trackRevisions>false</trackRevisions>
    </reviewItem>
    <reviewItem>
      <errorID>80a0192b-32ab-444d-a2d5-a6efc5debf63</errorID>
      <errorWord>.</errorWord>
      <group>L1_Format</group>
      <groupName>格式问题</groupName>
      <ability>L2_HalfPunc_CN</ability>
      <abilityName>全半角问题</abilityName>
      <candidateList>
        <item>。</item>
      </candidateList>
      <explain>文本全半角错误。</explain>
      <paraID>6633FEF6</paraID>
      <start>340</start>
      <end>341</end>
      <status>ignored</status>
      <modifiedWord/>
      <trackRevisions>false</trackRevisions>
    </reviewItem>
    <reviewItem>
      <errorID>edcf4350-4d2e-4e12-81ae-766bb9d6989f</errorID>
      <errorWord>更好服务</errorWord>
      <group>L1_Word</group>
      <groupName>字词问题</groupName>
      <ability>L2_Typo</ability>
      <abilityName>字词错误</abilityName>
      <candidateList>
        <item>更好地服务</item>
      </candidateList>
      <explain/>
      <paraID>727AA42C</paraID>
      <start>278</start>
      <end>282</end>
      <status>ignored</status>
      <modifiedWord/>
      <trackRevisions>false</trackRevisions>
    </reviewItem>
    <reviewItem>
      <errorID>ca2e8a73-74e8-4721-b7e8-338d0390d693</errorID>
      <errorWord>)</errorWord>
      <group>L1_Format</group>
      <groupName>格式问题</groupName>
      <ability>L2_HalfPunc_CN</ability>
      <abilityName>全半角问题</abilityName>
      <candidateList>
        <item>）</item>
      </candidateList>
      <explain>文本全半角错误。</explain>
      <paraID>7CA6E08D</paraID>
      <start>15</start>
      <end>16</end>
      <status>modified</status>
      <modifiedWord>）</modifiedWord>
      <trackRevisions>false</trackRevisions>
    </reviewItem>
    <reviewItem>
      <errorID>0f05de22-fbd6-4477-8d1d-833ce334e489</errorID>
      <errorWord>;</errorWord>
      <group>L1_Format</group>
      <groupName>格式问题</groupName>
      <ability>L2_HalfPunc_CN</ability>
      <abilityName>全半角问题</abilityName>
      <candidateList>
        <item>；</item>
      </candidateList>
      <explain>文本全半角错误。</explain>
      <paraID>29016E2C</paraID>
      <start>15</start>
      <end>16</end>
      <status>modified</status>
      <modifiedWord>；</modifiedWord>
      <trackRevisions>false</trackRevisions>
    </reviewItem>
    <reviewItem>
      <errorID>4719c230-a964-412d-bcd7-be5d0e68fa43</errorID>
      <errorWord>所有</errorWord>
      <group>L1_Word</group>
      <groupName>字词问题</groupName>
      <ability>L2_Typo</ability>
      <abilityName>字词错误</abilityName>
      <candidateList>
        <item>所</item>
      </candidateList>
      <explain/>
      <paraID>29016E2C</paraID>
      <start>262</start>
      <end>264</end>
      <status>ignored</status>
      <modifiedWord/>
      <trackRevisions>false</trackRevisions>
    </reviewItem>
    <reviewItem>
      <errorID>d62fc34f-6370-4b5c-9db6-59e52f3591cf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29016E2C</paraID>
      <start>512</start>
      <end>513</end>
      <status>ignored</status>
      <modifiedWord/>
      <trackRevisions>false</trackRevisions>
    </reviewItem>
    <reviewItem>
      <errorID>0b07d263-6138-4565-8d2a-a1e9d6fa0502</errorID>
      <errorWord>,</errorWord>
      <group>L1_Format</group>
      <groupName>格式问题</groupName>
      <ability>L2_HalfPunc_CN</ability>
      <abilityName>全半角问题</abilityName>
      <candidateList>
        <item>，</item>
      </candidateList>
      <explain>文本全半角错误。</explain>
      <paraID>29016E2C</paraID>
      <start>562</start>
      <end>563</end>
      <status>modified</status>
      <modifiedWord>，</modifiedWord>
      <trackRevisions>false</trackRevisions>
    </reviewItem>
    <reviewItem>
      <errorID>b7ab21fa-f5ee-48de-b38d-08d37fc2a42e</errorID>
      <errorWord>,</errorWord>
      <group>L1_Format</group>
      <groupName>格式问题</groupName>
      <ability>L2_HalfPunc_CN</ability>
      <abilityName>全半角问题</abilityName>
      <candidateList>
        <item>，</item>
      </candidateList>
      <explain>文本全半角错误。</explain>
      <paraID>29016E2C</paraID>
      <start>757</start>
      <end>758</end>
      <status>modified</status>
      <modifiedWord>，</modifiedWord>
      <trackRevisions>false</trackRevisions>
    </reviewItem>
    <reviewItem>
      <errorID>f2541d05-fcf5-4c14-a5d4-eadcab001ed7</errorID>
      <errorWord>生</errorWord>
      <group>L1_Word</group>
      <groupName>字词问题</groupName>
      <ability>L2_Typo</ability>
      <abilityName>字词错误</abilityName>
      <candidateList>
        <item>生的</item>
      </candidateList>
      <explain/>
      <paraID>36EC45A8</paraID>
      <start>36</start>
      <end>37</end>
      <status>ignored</status>
      <modifiedWord/>
      <trackRevisions>false</trackRevisions>
    </reviewItem>
    <reviewItem>
      <errorID>265de158-2d73-4897-9db4-162d5c08da74</errorID>
      <errorWord>;</errorWord>
      <group>L1_Format</group>
      <groupName>格式问题</groupName>
      <ability>L2_HalfPunc_CN</ability>
      <abilityName>全半角问题</abilityName>
      <candidateList>
        <item>；</item>
      </candidateList>
      <explain>文本全半角错误。</explain>
      <paraID>36EC45A8</paraID>
      <start>226</start>
      <end>227</end>
      <status>modified</status>
      <modifiedWord>；</modifiedWord>
      <trackRevisions>false</trackRevisions>
    </reviewItem>
    <reviewItem>
      <errorID>cca8debd-81e9-4b23-8862-12fbf8fd3eab</errorID>
      <errorWord>:</errorWord>
      <group>L1_Format</group>
      <groupName>格式问题</groupName>
      <ability>L2_HalfPunc_CN</ability>
      <abilityName>全半角问题</abilityName>
      <candidateList>
        <item>：</item>
      </candidateList>
      <explain>文本全半角错误。</explain>
      <paraID>2139164D</paraID>
      <start>613</start>
      <end>614</end>
      <status>modified</status>
      <modifiedWord>：</modifiedWord>
      <trackRevisions>false</trackRevisions>
    </reviewItem>
    <reviewItem>
      <errorID>dd6d7f22-cad8-466d-89f7-281976698a5a</errorID>
      <errorWord>,</errorWord>
      <group>L1_Format</group>
      <groupName>格式问题</groupName>
      <ability>L2_HalfPunc_CN</ability>
      <abilityName>全半角问题</abilityName>
      <candidateList>
        <item>，</item>
      </candidateList>
      <explain>文本全半角错误。</explain>
      <paraID>2139164D</paraID>
      <start>741</start>
      <end>742</end>
      <status>modified</status>
      <modifiedWord>，</modifiedWord>
      <trackRevisions>false</trackRevisions>
    </reviewItem>
    <reviewItem>
      <errorID>d1722900-0fe2-4ab4-8e61-1b5e4b0aa3cd</errorID>
      <errorWord>:</errorWord>
      <group>L1_Format</group>
      <groupName>格式问题</groupName>
      <ability>L2_HalfPunc_CN</ability>
      <abilityName>全半角问题</abilityName>
      <candidateList>
        <item>：</item>
      </candidateList>
      <explain>文本全半角错误。</explain>
      <paraID>2139164D</paraID>
      <start>911</start>
      <end>912</end>
      <status>modified</status>
      <modifiedWord>：</modifiedWord>
      <trackRevisions>false</trackRevisions>
    </reviewItem>
    <reviewItem>
      <errorID>8726314c-d550-46da-8975-f83f1d14c366</errorID>
      <errorWord>;</errorWord>
      <group>L1_Format</group>
      <groupName>格式问题</groupName>
      <ability>L2_HalfPunc_CN</ability>
      <abilityName>全半角问题</abilityName>
      <candidateList>
        <item>；</item>
      </candidateList>
      <explain>文本全半角错误。</explain>
      <paraID>26193A67</paraID>
      <start>81</start>
      <end>82</end>
      <status>modified</status>
      <modifiedWord>；</modifiedWord>
      <trackRevisions>false</trackRevisions>
    </reviewItem>
    <reviewItem>
      <errorID>e08333f9-578d-4263-95c9-e918cacbf46c</errorID>
      <errorWord>,</errorWord>
      <group>L1_Format</group>
      <groupName>格式问题</groupName>
      <ability>L2_HalfPunc_CN</ability>
      <abilityName>全半角问题</abilityName>
      <candidateList>
        <item>，</item>
      </candidateList>
      <explain>文本全半角错误。</explain>
      <paraID>26193A67</paraID>
      <start>93</start>
      <end>94</end>
      <status>modified</status>
      <modifiedWord>，</modifiedWord>
      <trackRevisions>false</trackRevisions>
    </reviewItem>
    <reviewItem>
      <errorID>25a0dd71-f889-4fd6-a558-440a46e009b4</errorID>
      <errorWord>,</errorWord>
      <group>L1_Format</group>
      <groupName>格式问题</groupName>
      <ability>L2_HalfPunc_CN</ability>
      <abilityName>全半角问题</abilityName>
      <candidateList>
        <item>，</item>
      </candidateList>
      <explain>文本全半角错误。</explain>
      <paraID>26193A67</paraID>
      <start>266</start>
      <end>267</end>
      <status>modified</status>
      <modifiedWord>，</modifiedWord>
      <trackRevisions>false</trackRevisions>
    </reviewItem>
    <reviewItem>
      <errorID>781cdaf7-fbfc-45b4-86d3-d1c3ae1a7b99</errorID>
      <errorWord>,</errorWord>
      <group>L1_Format</group>
      <groupName>格式问题</groupName>
      <ability>L2_HalfPunc_CN</ability>
      <abilityName>全半角问题</abilityName>
      <candidateList>
        <item>，</item>
      </candidateList>
      <explain>文本全半角错误。</explain>
      <paraID>26193A67</paraID>
      <start>284</start>
      <end>285</end>
      <status>modified</status>
      <modifiedWord>，</modifiedWord>
      <trackRevisions>false</trackRevisions>
    </reviewItem>
    <reviewItem>
      <errorID>7d72471d-5c69-4d8d-857c-fb96219c1dc8</errorID>
      <errorWord>:</errorWord>
      <group>L1_Format</group>
      <groupName>格式问题</groupName>
      <ability>L2_HalfPunc_CN</ability>
      <abilityName>全半角问题</abilityName>
      <candidateList>
        <item>：</item>
      </candidateList>
      <explain>文本全半角错误。</explain>
      <paraID>26193A67</paraID>
      <start>377</start>
      <end>378</end>
      <status>modified</status>
      <modifiedWord>：</modifiedWord>
      <trackRevisions>false</trackRevisions>
    </reviewItem>
    <reviewItem>
      <errorID>d5932ad3-62a7-41e9-81c0-3f0df89f4742</errorID>
      <errorWord>(</errorWord>
      <group>L1_Format</group>
      <groupName>格式问题</groupName>
      <ability>L2_HalfPunc_CN</ability>
      <abilityName>全半角问题</abilityName>
      <candidateList>
        <item>（</item>
      </candidateList>
      <explain>文本全半角错误。</explain>
      <paraID>26193A67</paraID>
      <start>432</start>
      <end>433</end>
      <status>modified</status>
      <modifiedWord>（</modifiedWord>
      <trackRevisions>false</trackRevisions>
    </reviewItem>
    <reviewItem>
      <errorID>2877f6cb-69be-4e10-b842-958247a2743f</errorID>
      <errorWord>:</errorWord>
      <group>L1_Format</group>
      <groupName>格式问题</groupName>
      <ability>L2_HalfPunc_CN</ability>
      <abilityName>全半角问题</abilityName>
      <candidateList>
        <item>：</item>
      </candidateList>
      <explain>文本全半角错误。</explain>
      <paraID>30E23E43</paraID>
      <start>49</start>
      <end>50</end>
      <status>modified</status>
      <modifiedWord>：</modifiedWord>
      <trackRevisions>false</trackRevisions>
    </reviewItem>
    <reviewItem>
      <errorID>b2198d10-9951-4668-9bd0-95a5b2cb9a1b</errorID>
      <errorWord>,</errorWord>
      <group>L1_Format</group>
      <groupName>格式问题</groupName>
      <ability>L2_HalfPunc_CN</ability>
      <abilityName>全半角问题</abilityName>
      <candidateList>
        <item>，</item>
      </candidateList>
      <explain>文本全半角错误。</explain>
      <paraID>4FF88985</paraID>
      <start>46</start>
      <end>47</end>
      <status>modified</status>
      <modifiedWord>，</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8C90FF-63CA-4108-877E-401BA47411DA}">
  <ds:schemaRefs>
    <ds:schemaRef ds:uri="http://schemas.wps.cn/vas-ai-hub/contract-review"/>
  </ds:schemaRefs>
</ds:datastoreItem>
</file>

<file path=customXml/itemProps3.xml><?xml version="1.0" encoding="utf-8"?>
<ds:datastoreItem xmlns:ds="http://schemas.openxmlformats.org/officeDocument/2006/customXml" ds:itemID="{5B2F8D9E-0AB2-9949-808C-37F879160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35</Pages>
  <Words>3389</Words>
  <Characters>19321</Characters>
  <Application>Microsoft Office Word</Application>
  <DocSecurity>0</DocSecurity>
  <Lines>161</Lines>
  <Paragraphs>45</Paragraphs>
  <ScaleCrop>false</ScaleCrop>
  <Company/>
  <LinksUpToDate>false</LinksUpToDate>
  <CharactersWithSpaces>22665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红火火</dc:creator>
  <cp:lastModifiedBy>王晓辉</cp:lastModifiedBy>
  <cp:revision>7</cp:revision>
  <cp:lastPrinted>2026-06-11T02:21:00Z</cp:lastPrinted>
  <dcterms:created xsi:type="dcterms:W3CDTF">2026-05-25T09:24:00Z</dcterms:created>
  <dcterms:modified xsi:type="dcterms:W3CDTF">2026-09-22T02:00:00Z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2021-11-08T00:00:00Z</vt:filetime>
  </property>
  <property fmtid="{D5CDD505-2E9C-101B-9397-08002B2CF9AE}" pid="3" name="Creator">
    <vt:lpwstr>WPS 文字</vt:lpwstr>
  </property>
  <property fmtid="{D5CDD505-2E9C-101B-9397-08002B2CF9AE}" pid="4" name="LastSaved">
    <vt:filetime>2021-11-30T00:00:00Z</vt:filetime>
  </property>
  <property fmtid="{D5CDD505-2E9C-101B-9397-08002B2CF9AE}" pid="5" name="KSOProductBuildVer">
    <vt:lpwstr>2052-12.1.0.28043</vt:lpwstr>
  </property>
  <property fmtid="{D5CDD505-2E9C-101B-9397-08002B2CF9AE}" pid="6" name="ICV">
    <vt:lpwstr>3E1B19AC21B342B5838717728839235D_13</vt:lpwstr>
  </property>
  <property fmtid="{D5CDD505-2E9C-101B-9397-08002B2CF9AE}" pid="7" name="KSOTemplateDocerSaveRecord">
    <vt:lpwstr>eyJoZGlkIjoiODdjM2MxYTg3MTc2OGE5MDBhODA0OGU5NDFkZjA5ZTEiLCJ1c2VySWQiOiIyMjkyNjU3NDgifQ==</vt:lpwstr>
  </property>
</Properties>
</file>