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E215A">
      <w:pPr>
        <w:jc w:val="center"/>
      </w:pPr>
      <w:r>
        <w:drawing>
          <wp:inline distT="0" distB="0" distL="114300" distR="114300">
            <wp:extent cx="1645920" cy="1645920"/>
            <wp:effectExtent l="0" t="0" r="5080" b="5080"/>
            <wp:docPr id="999" name="Picture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 name="Picture 999"/>
                    <pic:cNvPicPr>
                      <a:picLocks noChangeAspect="1"/>
                    </pic:cNvPicPr>
                  </pic:nvPicPr>
                  <pic:blipFill>
                    <a:blip r:embed="rId10"/>
                    <a:stretch>
                      <a:fillRect/>
                    </a:stretch>
                  </pic:blipFill>
                  <pic:spPr>
                    <a:xfrm>
                      <a:off x="0" y="0"/>
                      <a:ext cx="1645920" cy="1645920"/>
                    </a:xfrm>
                    <a:prstGeom prst="rect">
                      <a:avLst/>
                    </a:prstGeom>
                  </pic:spPr>
                </pic:pic>
              </a:graphicData>
            </a:graphic>
          </wp:inline>
        </w:drawing>
      </w:r>
    </w:p>
    <w:p w14:paraId="72EC2CDD">
      <w:pPr>
        <w:spacing w:after="240"/>
        <w:jc w:val="center"/>
      </w:pPr>
    </w:p>
    <w:p w14:paraId="3E3BF8C9">
      <w:r>
        <mc:AlternateContent>
          <mc:Choice Requires="wps">
            <w:drawing>
              <wp:anchor distT="0" distB="0" distL="0" distR="0" simplePos="0" relativeHeight="251660288" behindDoc="1" locked="1" layoutInCell="1" allowOverlap="1">
                <wp:simplePos x="0" y="0"/>
                <wp:positionH relativeFrom="page">
                  <wp:posOffset>0</wp:posOffset>
                </wp:positionH>
                <wp:positionV relativeFrom="page">
                  <wp:posOffset>0</wp:posOffset>
                </wp:positionV>
                <wp:extent cx="7560310" cy="10692130"/>
                <wp:effectExtent l="0" t="0" r="0" b="0"/>
                <wp:wrapNone/>
                <wp:docPr id="998" name="CoverColorBg"/>
                <wp:cNvGraphicFramePr/>
                <a:graphic xmlns:a="http://schemas.openxmlformats.org/drawingml/2006/main">
                  <a:graphicData uri="http://schemas.microsoft.com/office/word/2010/wordprocessingShape">
                    <wps:wsp>
                      <wps:cNvSpPr/>
                      <wps:spPr>
                        <a:xfrm>
                          <a:off x="0" y="0"/>
                          <a:ext cx="7560310" cy="10692130"/>
                        </a:xfrm>
                        <a:prstGeom prst="rect">
                          <a:avLst/>
                        </a:prstGeom>
                        <a:gradFill>
                          <a:gsLst>
                            <a:gs pos="0">
                              <a:srgbClr val="0F2440"/>
                            </a:gs>
                            <a:gs pos="50000">
                              <a:srgbClr val="1B3A5C"/>
                            </a:gs>
                            <a:gs pos="100000">
                              <a:srgbClr val="2A5080"/>
                            </a:gs>
                          </a:gsLst>
                          <a:lin ang="5400000" scaled="1"/>
                        </a:gradFill>
                        <a:ln>
                          <a:noFill/>
                        </a:ln>
                      </wps:spPr>
                      <wps:bodyPr/>
                    </wps:wsp>
                  </a:graphicData>
                </a:graphic>
              </wp:anchor>
            </w:drawing>
          </mc:Choice>
          <mc:Fallback>
            <w:pict>
              <v:rect id="CoverColorBg" o:spid="_x0000_s1026" o:spt="1" style="position:absolute;left:0pt;margin-left:0pt;margin-top:0pt;height:841.9pt;width:595.3pt;mso-position-horizontal-relative:page;mso-position-vertical-relative:page;z-index:-251656192;mso-width-relative:page;mso-height-relative:page;" fillcolor="#0F2440" filled="t" stroked="f" coordsize="21600,21600" o:gfxdata="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9lcArtgA&#10;AAAHAQAADwAAAAAAAAABACAAAAAiAAAAZHJzL2Rvd25yZXYueG1sUEsBAhQAFAAAAAgAh07iQJ4K&#10;zN/mAQAABwQAAA4AAAAAAAAAAQAgAAAAJwEAAGRycy9lMm9Eb2MueG1sUEsFBgAAAAAGAAYAWQEA&#10;AH8FAAAAAA==&#10;">
                <v:fill type="gradient" on="t" color2="#2A5080" colors="0f #0F2440;32768f #1B3A5C;65536f #2A5080" focus="100%" focussize="0,0" rotate="t"/>
                <v:stroke on="f"/>
                <v:imagedata o:title=""/>
                <o:lock v:ext="edit" aspectratio="f"/>
                <w10:anchorlock/>
              </v:rect>
            </w:pict>
          </mc:Fallback>
        </mc:AlternateContent>
      </w:r>
    </w:p>
    <w:p w14:paraId="1C4FAE4D">
      <w:pPr>
        <w:spacing w:before="2000" w:line="20" w:lineRule="exact"/>
      </w:pPr>
    </w:p>
    <w:p w14:paraId="1F6019A5">
      <w:pPr>
        <w:spacing w:after="120" w:line="360" w:lineRule="auto"/>
        <w:jc w:val="center"/>
      </w:pPr>
      <w:r>
        <w:rPr>
          <w:rFonts w:ascii="黑体" w:hAnsi="黑体" w:eastAsia="黑体" w:cs="黑体"/>
          <w:b/>
          <w:bCs/>
          <w:color w:val="FFFFFF"/>
          <w:sz w:val="60"/>
          <w:szCs w:val="60"/>
        </w:rPr>
        <w:t>金融保险行业快讯</w:t>
      </w:r>
    </w:p>
    <w:p w14:paraId="66045596">
      <w:pPr>
        <w:spacing w:before="200" w:line="20" w:lineRule="exact"/>
      </w:pPr>
    </w:p>
    <w:p w14:paraId="2078E951">
      <w:pPr>
        <w:pBdr>
          <w:bottom w:val="single" w:color="C4A35A" w:sz="4" w:space="0"/>
        </w:pBdr>
        <w:spacing w:after="200"/>
      </w:pPr>
    </w:p>
    <w:p w14:paraId="6277F754">
      <w:pPr>
        <w:spacing w:before="200" w:line="20" w:lineRule="exact"/>
      </w:pPr>
    </w:p>
    <w:p w14:paraId="55667C40">
      <w:pPr>
        <w:spacing w:after="120" w:line="360" w:lineRule="auto"/>
        <w:jc w:val="center"/>
      </w:pPr>
      <w:r>
        <w:rPr>
          <w:rFonts w:ascii="微软雅黑" w:hAnsi="微软雅黑" w:eastAsia="微软雅黑" w:cs="微软雅黑"/>
          <w:color w:val="B0C4DE"/>
          <w:sz w:val="22"/>
          <w:szCs w:val="22"/>
        </w:rPr>
        <w:t>FINANCIAL &amp; INSURANCE INDUSTRY NEWSLETTER</w:t>
      </w:r>
    </w:p>
    <w:p w14:paraId="7C5685AB">
      <w:pPr>
        <w:spacing w:before="1500" w:line="20" w:lineRule="exact"/>
      </w:pPr>
    </w:p>
    <w:p w14:paraId="48317C58">
      <w:pPr>
        <w:spacing w:after="120" w:line="360" w:lineRule="auto"/>
        <w:jc w:val="center"/>
        <w:rPr>
          <w:rFonts w:hint="eastAsia" w:ascii="微软雅黑" w:hAnsi="微软雅黑" w:eastAsia="微软雅黑" w:cs="微软雅黑"/>
          <w:b/>
          <w:bCs/>
          <w:color w:val="FFFFFF"/>
          <w:sz w:val="32"/>
          <w:szCs w:val="32"/>
          <w:lang w:val="en-US" w:eastAsia="zh-CN"/>
        </w:rPr>
      </w:pPr>
      <w:r>
        <w:rPr>
          <w:rFonts w:ascii="微软雅黑" w:hAnsi="微软雅黑" w:eastAsia="微软雅黑" w:cs="微软雅黑"/>
          <w:b/>
          <w:bCs/>
          <w:color w:val="FFFFFF"/>
          <w:sz w:val="32"/>
          <w:szCs w:val="32"/>
        </w:rPr>
        <w:t>2026年</w:t>
      </w:r>
      <w:r>
        <w:rPr>
          <w:rFonts w:hint="eastAsia" w:cs="微软雅黑"/>
          <w:b/>
          <w:bCs/>
          <w:color w:val="FFFFFF"/>
          <w:sz w:val="32"/>
          <w:szCs w:val="32"/>
          <w:lang w:val="en-US" w:eastAsia="zh-CN"/>
        </w:rPr>
        <w:t>7月</w:t>
      </w:r>
    </w:p>
    <w:p w14:paraId="2547896B">
      <w:pPr>
        <w:spacing w:after="120" w:line="360" w:lineRule="auto"/>
        <w:jc w:val="center"/>
        <w:rPr>
          <w:rFonts w:ascii="微软雅黑" w:hAnsi="微软雅黑" w:eastAsia="微软雅黑" w:cs="微软雅黑"/>
          <w:b/>
          <w:bCs/>
          <w:color w:val="FFFFFF"/>
          <w:sz w:val="32"/>
          <w:szCs w:val="32"/>
        </w:rPr>
      </w:pPr>
    </w:p>
    <w:p w14:paraId="53307605">
      <w:pPr>
        <w:spacing w:before="200" w:line="20" w:lineRule="exact"/>
      </w:pPr>
    </w:p>
    <w:p w14:paraId="26136722">
      <w:pPr>
        <w:pBdr>
          <w:bottom w:val="single" w:color="C4A35A" w:sz="2" w:space="0"/>
        </w:pBdr>
        <w:spacing w:after="200"/>
      </w:pPr>
    </w:p>
    <w:p w14:paraId="1FC20307">
      <w:pPr>
        <w:spacing w:before="400" w:line="20" w:lineRule="exact"/>
      </w:pPr>
    </w:p>
    <w:p w14:paraId="087E1DED">
      <w:pPr>
        <w:spacing w:after="120" w:line="360" w:lineRule="auto"/>
        <w:jc w:val="center"/>
      </w:pPr>
      <w:r>
        <w:rPr>
          <w:rFonts w:hint="eastAsia" w:ascii="微软雅黑" w:hAnsi="微软雅黑" w:eastAsia="微软雅黑" w:cs="微软雅黑"/>
          <w:color w:val="B0C4DE"/>
          <w:sz w:val="20"/>
          <w:szCs w:val="20"/>
          <w:lang w:val="en-US" w:eastAsia="zh-CN"/>
        </w:rPr>
        <w:t>河南省律师协会金融保险专业委员会</w:t>
      </w:r>
    </w:p>
    <w:p w14:paraId="018EAE35">
      <w:pPr>
        <w:jc w:val="center"/>
        <w:sectPr>
          <w:headerReference r:id="rId4" w:type="first"/>
          <w:headerReference r:id="rId3" w:type="default"/>
          <w:pgSz w:w="11906" w:h="16838"/>
          <w:pgMar w:top="1440" w:right="1440" w:bottom="1440" w:left="1440" w:header="708" w:footer="708" w:gutter="0"/>
          <w:cols w:space="720" w:num="1"/>
          <w:docGrid w:linePitch="360" w:charSpace="0"/>
        </w:sectPr>
      </w:pPr>
    </w:p>
    <w:p w14:paraId="3A8B6F2D">
      <w:pPr>
        <w:pStyle w:val="2"/>
        <w:keepNext/>
        <w:keepLines/>
        <w:spacing w:before="400" w:after="200"/>
        <w:jc w:val="center"/>
      </w:pPr>
      <w:r>
        <w:rPr>
          <w:rFonts w:ascii="黑体" w:hAnsi="黑体" w:eastAsia="黑体" w:cs="黑体"/>
          <w:b/>
          <w:bCs/>
          <w:color w:val="1B3A5C"/>
          <w:sz w:val="40"/>
          <w:szCs w:val="40"/>
        </w:rPr>
        <w:t>目  录</w:t>
      </w:r>
    </w:p>
    <w:sdt>
      <w:sdtPr>
        <w:alias w:val="目录"/>
        <w:id w:val="147471224"/>
      </w:sdtPr>
      <w:sdtContent>
        <w:p w14:paraId="6FAAE001">
          <w:pPr>
            <w:pStyle w:val="12"/>
            <w:keepNext w:val="0"/>
            <w:keepLines w:val="0"/>
            <w:pageBreakBefore w:val="0"/>
            <w:widowControl/>
            <w:kinsoku/>
            <w:wordWrap/>
            <w:overflowPunct/>
            <w:topLinePunct w:val="0"/>
            <w:autoSpaceDE/>
            <w:autoSpaceDN/>
            <w:bidi w:val="0"/>
            <w:adjustRightInd/>
            <w:snapToGrid/>
            <w:spacing w:line="520" w:lineRule="exact"/>
            <w:textAlignment w:val="auto"/>
            <w:rPr>
              <w:rFonts w:hint="default" w:eastAsia="微软雅黑"/>
              <w:lang w:val="en-US" w:eastAsia="zh-CN"/>
            </w:rPr>
          </w:pPr>
          <w:r>
            <w:fldChar w:fldCharType="begin"/>
          </w:r>
          <w:r>
            <w:instrText xml:space="preserve">TOC \h \o "1-2"</w:instrText>
          </w:r>
          <w:r>
            <w:fldChar w:fldCharType="separate"/>
          </w:r>
          <w:r>
            <w:rPr>
              <w:sz w:val="28"/>
              <w:szCs w:val="28"/>
            </w:rPr>
            <w:fldChar w:fldCharType="begin"/>
          </w:r>
          <w:r>
            <w:rPr>
              <w:sz w:val="28"/>
              <w:szCs w:val="28"/>
            </w:rPr>
            <w:instrText xml:space="preserve"> HYPERLINK \l "_monthly" </w:instrText>
          </w:r>
          <w:r>
            <w:rPr>
              <w:sz w:val="28"/>
              <w:szCs w:val="28"/>
            </w:rPr>
            <w:fldChar w:fldCharType="separate"/>
          </w:r>
          <w:r>
            <w:rPr>
              <w:sz w:val="28"/>
              <w:szCs w:val="28"/>
            </w:rPr>
            <w:t>一、月度财经速览</w:t>
          </w:r>
          <w:r>
            <w:rPr>
              <w:sz w:val="28"/>
              <w:szCs w:val="28"/>
            </w:rPr>
            <w:fldChar w:fldCharType="end"/>
          </w:r>
          <w:r>
            <w:rPr>
              <w:rFonts w:hint="eastAsia"/>
              <w:b w:val="0"/>
              <w:bCs/>
              <w:lang w:val="en-US" w:eastAsia="zh-CN"/>
            </w:rPr>
            <w:t>..........................................................................................................................1</w:t>
          </w:r>
        </w:p>
        <w:p w14:paraId="5857BECD">
          <w:pPr>
            <w:pStyle w:val="14"/>
            <w:keepNext w:val="0"/>
            <w:keepLines w:val="0"/>
            <w:pageBreakBefore w:val="0"/>
            <w:widowControl/>
            <w:kinsoku/>
            <w:wordWrap/>
            <w:overflowPunct/>
            <w:topLinePunct w:val="0"/>
            <w:autoSpaceDE/>
            <w:autoSpaceDN/>
            <w:bidi w:val="0"/>
            <w:adjustRightInd/>
            <w:snapToGrid/>
            <w:spacing w:line="520" w:lineRule="exact"/>
            <w:textAlignment w:val="auto"/>
            <w:rPr>
              <w:rFonts w:hint="default" w:eastAsia="微软雅黑"/>
              <w:lang w:val="en-US" w:eastAsia="zh-CN"/>
            </w:rPr>
          </w:pPr>
          <w:r>
            <w:rPr>
              <w:sz w:val="24"/>
              <w:szCs w:val="24"/>
            </w:rPr>
            <w:fldChar w:fldCharType="begin"/>
          </w:r>
          <w:r>
            <w:rPr>
              <w:sz w:val="24"/>
              <w:szCs w:val="24"/>
            </w:rPr>
            <w:instrText xml:space="preserve"> HYPERLINK \l "_toc_auto_2" </w:instrText>
          </w:r>
          <w:r>
            <w:rPr>
              <w:sz w:val="24"/>
              <w:szCs w:val="24"/>
            </w:rPr>
            <w:fldChar w:fldCharType="separate"/>
          </w:r>
          <w:r>
            <w:rPr>
              <w:sz w:val="24"/>
              <w:szCs w:val="24"/>
            </w:rPr>
            <w:t>2026年7月金融财经要闻</w:t>
          </w:r>
          <w:r>
            <w:rPr>
              <w:sz w:val="24"/>
              <w:szCs w:val="24"/>
            </w:rPr>
            <w:fldChar w:fldCharType="end"/>
          </w:r>
          <w:r>
            <w:rPr>
              <w:rFonts w:hint="eastAsia"/>
              <w:sz w:val="24"/>
              <w:szCs w:val="24"/>
              <w:lang w:val="en-US" w:eastAsia="zh-CN"/>
            </w:rPr>
            <w:t>...............................................................................................1</w:t>
          </w:r>
        </w:p>
        <w:p w14:paraId="0A08FB12">
          <w:pPr>
            <w:pStyle w:val="12"/>
            <w:keepNext w:val="0"/>
            <w:keepLines w:val="0"/>
            <w:pageBreakBefore w:val="0"/>
            <w:widowControl/>
            <w:kinsoku/>
            <w:wordWrap/>
            <w:overflowPunct/>
            <w:topLinePunct w:val="0"/>
            <w:autoSpaceDE/>
            <w:autoSpaceDN/>
            <w:bidi w:val="0"/>
            <w:adjustRightInd/>
            <w:snapToGrid/>
            <w:spacing w:line="520" w:lineRule="exact"/>
            <w:textAlignment w:val="auto"/>
            <w:rPr>
              <w:rFonts w:hint="default" w:eastAsia="微软雅黑"/>
              <w:sz w:val="28"/>
              <w:szCs w:val="28"/>
              <w:lang w:val="en-US" w:eastAsia="zh-CN"/>
            </w:rPr>
          </w:pPr>
          <w:r>
            <w:rPr>
              <w:sz w:val="28"/>
              <w:szCs w:val="28"/>
            </w:rPr>
            <w:fldChar w:fldCharType="begin"/>
          </w:r>
          <w:r>
            <w:rPr>
              <w:sz w:val="28"/>
              <w:szCs w:val="28"/>
            </w:rPr>
            <w:instrText xml:space="preserve"> HYPERLINK \l "_policy" </w:instrText>
          </w:r>
          <w:r>
            <w:rPr>
              <w:sz w:val="28"/>
              <w:szCs w:val="28"/>
            </w:rPr>
            <w:fldChar w:fldCharType="separate"/>
          </w:r>
          <w:r>
            <w:rPr>
              <w:sz w:val="28"/>
              <w:szCs w:val="28"/>
            </w:rPr>
            <w:t>二、政策新规速递</w:t>
          </w:r>
          <w:r>
            <w:rPr>
              <w:sz w:val="28"/>
              <w:szCs w:val="28"/>
            </w:rPr>
            <w:fldChar w:fldCharType="end"/>
          </w:r>
          <w:r>
            <w:rPr>
              <w:rFonts w:hint="eastAsia"/>
              <w:b w:val="0"/>
              <w:bCs/>
              <w:sz w:val="28"/>
              <w:szCs w:val="28"/>
              <w:lang w:val="en-US" w:eastAsia="zh-CN"/>
            </w:rPr>
            <w:t>................................................................................................</w:t>
          </w:r>
          <w:r>
            <w:rPr>
              <w:rFonts w:hint="eastAsia"/>
              <w:b w:val="0"/>
              <w:bCs/>
              <w:sz w:val="24"/>
              <w:szCs w:val="24"/>
              <w:lang w:val="en-US" w:eastAsia="zh-CN"/>
            </w:rPr>
            <w:t>2</w:t>
          </w:r>
        </w:p>
        <w:p w14:paraId="2171F59E">
          <w:pPr>
            <w:pStyle w:val="14"/>
            <w:keepNext w:val="0"/>
            <w:keepLines w:val="0"/>
            <w:pageBreakBefore w:val="0"/>
            <w:widowControl/>
            <w:kinsoku/>
            <w:wordWrap/>
            <w:overflowPunct/>
            <w:topLinePunct w:val="0"/>
            <w:autoSpaceDE/>
            <w:autoSpaceDN/>
            <w:bidi w:val="0"/>
            <w:adjustRightInd/>
            <w:snapToGrid/>
            <w:spacing w:line="520" w:lineRule="exact"/>
            <w:ind w:left="420"/>
            <w:textAlignment w:val="auto"/>
            <w:rPr>
              <w:rFonts w:hint="default" w:eastAsia="微软雅黑"/>
              <w:sz w:val="24"/>
              <w:szCs w:val="24"/>
              <w:lang w:val="en-US" w:eastAsia="zh-CN"/>
            </w:rPr>
          </w:pPr>
          <w:r>
            <w:rPr>
              <w:sz w:val="24"/>
              <w:szCs w:val="24"/>
            </w:rPr>
            <w:fldChar w:fldCharType="begin"/>
          </w:r>
          <w:r>
            <w:rPr>
              <w:sz w:val="24"/>
              <w:szCs w:val="24"/>
            </w:rPr>
            <w:instrText xml:space="preserve"> HYPERLINK \l "_toc_auto_4" </w:instrText>
          </w:r>
          <w:r>
            <w:rPr>
              <w:sz w:val="24"/>
              <w:szCs w:val="24"/>
            </w:rPr>
            <w:fldChar w:fldCharType="separate"/>
          </w:r>
          <w:r>
            <w:rPr>
              <w:rFonts w:hint="eastAsia"/>
              <w:sz w:val="24"/>
              <w:szCs w:val="24"/>
              <w:lang w:val="en-US" w:eastAsia="zh-CN"/>
            </w:rPr>
            <w:t>(一)人身险三项新规7月1日同步落地</w:t>
          </w:r>
          <w:r>
            <w:rPr>
              <w:sz w:val="24"/>
              <w:szCs w:val="24"/>
            </w:rPr>
            <w:fldChar w:fldCharType="end"/>
          </w:r>
          <w:r>
            <w:rPr>
              <w:rFonts w:hint="eastAsia"/>
              <w:sz w:val="24"/>
              <w:szCs w:val="24"/>
              <w:lang w:val="en-US" w:eastAsia="zh-CN"/>
            </w:rPr>
            <w:t>..........................................................................2</w:t>
          </w:r>
        </w:p>
        <w:p w14:paraId="087A7C3B">
          <w:pPr>
            <w:pStyle w:val="14"/>
            <w:keepNext w:val="0"/>
            <w:keepLines w:val="0"/>
            <w:pageBreakBefore w:val="0"/>
            <w:widowControl/>
            <w:kinsoku/>
            <w:wordWrap/>
            <w:overflowPunct/>
            <w:topLinePunct w:val="0"/>
            <w:autoSpaceDE/>
            <w:autoSpaceDN/>
            <w:bidi w:val="0"/>
            <w:adjustRightInd/>
            <w:snapToGrid/>
            <w:spacing w:line="520" w:lineRule="exact"/>
            <w:ind w:left="420"/>
            <w:textAlignment w:val="auto"/>
            <w:rPr>
              <w:rFonts w:hint="default" w:eastAsia="微软雅黑"/>
              <w:sz w:val="24"/>
              <w:szCs w:val="24"/>
              <w:lang w:val="en-US" w:eastAsia="zh-CN"/>
            </w:rPr>
          </w:pPr>
          <w:r>
            <w:rPr>
              <w:rFonts w:hint="eastAsia"/>
              <w:sz w:val="24"/>
              <w:szCs w:val="24"/>
            </w:rPr>
            <w:t>(二)四部门联合发布科技保险高质量发展20条意见</w:t>
          </w:r>
          <w:r>
            <w:rPr>
              <w:rFonts w:hint="eastAsia"/>
              <w:sz w:val="24"/>
              <w:szCs w:val="24"/>
              <w:lang w:val="en-US" w:eastAsia="zh-CN"/>
            </w:rPr>
            <w:t>...................................................3</w:t>
          </w:r>
        </w:p>
        <w:p w14:paraId="69BE1199">
          <w:pPr>
            <w:pStyle w:val="14"/>
            <w:keepNext w:val="0"/>
            <w:keepLines w:val="0"/>
            <w:pageBreakBefore w:val="0"/>
            <w:widowControl/>
            <w:kinsoku/>
            <w:wordWrap/>
            <w:overflowPunct/>
            <w:topLinePunct w:val="0"/>
            <w:autoSpaceDE/>
            <w:autoSpaceDN/>
            <w:bidi w:val="0"/>
            <w:adjustRightInd/>
            <w:snapToGrid/>
            <w:spacing w:line="520" w:lineRule="exact"/>
            <w:ind w:left="420"/>
            <w:textAlignment w:val="auto"/>
            <w:rPr>
              <w:rFonts w:hint="default" w:eastAsia="微软雅黑"/>
              <w:sz w:val="24"/>
              <w:szCs w:val="24"/>
              <w:lang w:val="en-US" w:eastAsia="zh-CN"/>
            </w:rPr>
          </w:pPr>
          <w:r>
            <w:rPr>
              <w:sz w:val="24"/>
              <w:szCs w:val="24"/>
            </w:rPr>
            <w:fldChar w:fldCharType="begin"/>
          </w:r>
          <w:r>
            <w:rPr>
              <w:sz w:val="24"/>
              <w:szCs w:val="24"/>
            </w:rPr>
            <w:instrText xml:space="preserve"> HYPERLINK \l "_toc_auto_6" </w:instrText>
          </w:r>
          <w:r>
            <w:rPr>
              <w:sz w:val="24"/>
              <w:szCs w:val="24"/>
            </w:rPr>
            <w:fldChar w:fldCharType="separate"/>
          </w:r>
          <w:r>
            <w:rPr>
              <w:rFonts w:hint="eastAsia"/>
              <w:sz w:val="24"/>
              <w:szCs w:val="24"/>
              <w:lang w:val="en-US" w:eastAsia="zh-CN"/>
            </w:rPr>
            <w:t>(三)加快上海国际再保险中心建设八条措施出台</w:t>
          </w:r>
          <w:r>
            <w:rPr>
              <w:sz w:val="24"/>
              <w:szCs w:val="24"/>
            </w:rPr>
            <w:fldChar w:fldCharType="end"/>
          </w:r>
          <w:r>
            <w:rPr>
              <w:rFonts w:hint="eastAsia"/>
              <w:sz w:val="24"/>
              <w:szCs w:val="24"/>
              <w:lang w:val="en-US" w:eastAsia="zh-CN"/>
            </w:rPr>
            <w:t>..........................................................4</w:t>
          </w:r>
        </w:p>
        <w:p w14:paraId="2708E9BF">
          <w:pPr>
            <w:pStyle w:val="14"/>
            <w:keepNext w:val="0"/>
            <w:keepLines w:val="0"/>
            <w:pageBreakBefore w:val="0"/>
            <w:widowControl/>
            <w:kinsoku/>
            <w:wordWrap/>
            <w:overflowPunct/>
            <w:topLinePunct w:val="0"/>
            <w:autoSpaceDE/>
            <w:autoSpaceDN/>
            <w:bidi w:val="0"/>
            <w:adjustRightInd/>
            <w:snapToGrid/>
            <w:spacing w:line="520" w:lineRule="exact"/>
            <w:ind w:left="420"/>
            <w:textAlignment w:val="auto"/>
            <w:rPr>
              <w:rFonts w:hint="default" w:eastAsia="微软雅黑"/>
              <w:sz w:val="24"/>
              <w:szCs w:val="24"/>
              <w:lang w:val="en-US" w:eastAsia="zh-CN"/>
            </w:rPr>
          </w:pPr>
          <w:r>
            <w:rPr>
              <w:sz w:val="24"/>
              <w:szCs w:val="24"/>
            </w:rPr>
            <w:fldChar w:fldCharType="begin"/>
          </w:r>
          <w:r>
            <w:rPr>
              <w:sz w:val="24"/>
              <w:szCs w:val="24"/>
            </w:rPr>
            <w:instrText xml:space="preserve"> HYPERLINK \l "_toc_auto_7" </w:instrText>
          </w:r>
          <w:r>
            <w:rPr>
              <w:sz w:val="24"/>
              <w:szCs w:val="24"/>
            </w:rPr>
            <w:fldChar w:fldCharType="separate"/>
          </w:r>
          <w:r>
            <w:rPr>
              <w:rFonts w:hint="eastAsia"/>
              <w:sz w:val="24"/>
              <w:szCs w:val="24"/>
              <w:lang w:val="en-US" w:eastAsia="zh-CN"/>
            </w:rPr>
            <w:t>(四)《银行业保险业网络安全管理办法(征求意见稿)》发布</w:t>
          </w:r>
          <w:r>
            <w:rPr>
              <w:sz w:val="24"/>
              <w:szCs w:val="24"/>
            </w:rPr>
            <w:fldChar w:fldCharType="end"/>
          </w:r>
          <w:r>
            <w:rPr>
              <w:rFonts w:hint="eastAsia"/>
              <w:sz w:val="24"/>
              <w:szCs w:val="24"/>
              <w:lang w:val="en-US" w:eastAsia="zh-CN"/>
            </w:rPr>
            <w:t>......................................5</w:t>
          </w:r>
        </w:p>
        <w:p w14:paraId="47B8ED9F">
          <w:pPr>
            <w:pStyle w:val="14"/>
            <w:keepNext w:val="0"/>
            <w:keepLines w:val="0"/>
            <w:pageBreakBefore w:val="0"/>
            <w:widowControl/>
            <w:kinsoku/>
            <w:wordWrap/>
            <w:overflowPunct/>
            <w:topLinePunct w:val="0"/>
            <w:autoSpaceDE/>
            <w:autoSpaceDN/>
            <w:bidi w:val="0"/>
            <w:adjustRightInd/>
            <w:snapToGrid/>
            <w:spacing w:line="520" w:lineRule="exact"/>
            <w:ind w:left="420"/>
            <w:textAlignment w:val="auto"/>
            <w:rPr>
              <w:rFonts w:hint="default" w:eastAsia="微软雅黑"/>
              <w:sz w:val="24"/>
              <w:szCs w:val="24"/>
              <w:lang w:val="en-US" w:eastAsia="zh-CN"/>
            </w:rPr>
          </w:pPr>
          <w:r>
            <w:rPr>
              <w:sz w:val="24"/>
              <w:szCs w:val="24"/>
            </w:rPr>
            <w:fldChar w:fldCharType="begin"/>
          </w:r>
          <w:r>
            <w:rPr>
              <w:sz w:val="24"/>
              <w:szCs w:val="24"/>
            </w:rPr>
            <w:instrText xml:space="preserve"> HYPERLINK \l "_toc_auto_7" </w:instrText>
          </w:r>
          <w:r>
            <w:rPr>
              <w:sz w:val="24"/>
              <w:szCs w:val="24"/>
            </w:rPr>
            <w:fldChar w:fldCharType="separate"/>
          </w:r>
          <w:r>
            <w:rPr>
              <w:rFonts w:hint="eastAsia"/>
              <w:sz w:val="24"/>
              <w:szCs w:val="24"/>
              <w:lang w:val="en-US" w:eastAsia="zh-CN"/>
            </w:rPr>
            <w:t>(五)《关于严重失信主体名单管理的规定(试行)》发布</w:t>
          </w:r>
          <w:r>
            <w:rPr>
              <w:sz w:val="24"/>
              <w:szCs w:val="24"/>
            </w:rPr>
            <w:fldChar w:fldCharType="end"/>
          </w:r>
          <w:r>
            <w:rPr>
              <w:rFonts w:hint="eastAsia"/>
              <w:sz w:val="24"/>
              <w:szCs w:val="24"/>
              <w:lang w:val="en-US" w:eastAsia="zh-CN"/>
            </w:rPr>
            <w:t>..............................................6</w:t>
          </w:r>
        </w:p>
        <w:p w14:paraId="5DC1F43D">
          <w:pPr>
            <w:pStyle w:val="12"/>
            <w:keepNext w:val="0"/>
            <w:keepLines w:val="0"/>
            <w:pageBreakBefore w:val="0"/>
            <w:widowControl/>
            <w:kinsoku/>
            <w:wordWrap/>
            <w:overflowPunct/>
            <w:topLinePunct w:val="0"/>
            <w:autoSpaceDE/>
            <w:autoSpaceDN/>
            <w:bidi w:val="0"/>
            <w:adjustRightInd/>
            <w:snapToGrid/>
            <w:spacing w:line="520" w:lineRule="exact"/>
            <w:textAlignment w:val="auto"/>
            <w:rPr>
              <w:rFonts w:hint="default" w:eastAsia="微软雅黑"/>
              <w:sz w:val="28"/>
              <w:szCs w:val="28"/>
              <w:lang w:val="en-US" w:eastAsia="zh-CN"/>
            </w:rPr>
          </w:pPr>
          <w:r>
            <w:rPr>
              <w:rFonts w:hint="eastAsia"/>
              <w:sz w:val="28"/>
              <w:szCs w:val="28"/>
              <w:lang w:val="en-US" w:eastAsia="zh-CN"/>
            </w:rPr>
            <w:t>三、</w:t>
          </w:r>
          <w:r>
            <w:rPr>
              <w:sz w:val="28"/>
              <w:szCs w:val="28"/>
            </w:rPr>
            <w:fldChar w:fldCharType="begin"/>
          </w:r>
          <w:r>
            <w:rPr>
              <w:sz w:val="28"/>
              <w:szCs w:val="28"/>
            </w:rPr>
            <w:instrText xml:space="preserve"> HYPERLINK \l "_hotfocus" </w:instrText>
          </w:r>
          <w:r>
            <w:rPr>
              <w:sz w:val="28"/>
              <w:szCs w:val="28"/>
            </w:rPr>
            <w:fldChar w:fldCharType="separate"/>
          </w:r>
          <w:r>
            <w:rPr>
              <w:sz w:val="28"/>
              <w:szCs w:val="28"/>
            </w:rPr>
            <w:t>热点聚焦</w:t>
          </w:r>
          <w:r>
            <w:rPr>
              <w:sz w:val="28"/>
              <w:szCs w:val="28"/>
            </w:rPr>
            <w:fldChar w:fldCharType="end"/>
          </w:r>
          <w:r>
            <w:rPr>
              <w:rFonts w:hint="eastAsia"/>
              <w:b w:val="0"/>
              <w:bCs/>
              <w:sz w:val="28"/>
              <w:szCs w:val="28"/>
              <w:lang w:val="en-US" w:eastAsia="zh-CN"/>
            </w:rPr>
            <w:t>........................................................................................................</w:t>
          </w:r>
          <w:r>
            <w:rPr>
              <w:rFonts w:hint="eastAsia"/>
              <w:b w:val="0"/>
              <w:bCs/>
              <w:sz w:val="24"/>
              <w:szCs w:val="24"/>
              <w:lang w:val="en-US" w:eastAsia="zh-CN"/>
            </w:rPr>
            <w:t>7</w:t>
          </w:r>
        </w:p>
        <w:p w14:paraId="6CEEAC7B">
          <w:pPr>
            <w:pStyle w:val="14"/>
            <w:keepNext w:val="0"/>
            <w:keepLines w:val="0"/>
            <w:pageBreakBefore w:val="0"/>
            <w:widowControl/>
            <w:kinsoku/>
            <w:wordWrap/>
            <w:overflowPunct/>
            <w:topLinePunct w:val="0"/>
            <w:autoSpaceDE/>
            <w:autoSpaceDN/>
            <w:bidi w:val="0"/>
            <w:adjustRightInd/>
            <w:snapToGrid/>
            <w:spacing w:line="520" w:lineRule="exact"/>
            <w:textAlignment w:val="auto"/>
            <w:rPr>
              <w:rFonts w:hint="default" w:eastAsia="微软雅黑"/>
              <w:sz w:val="24"/>
              <w:szCs w:val="24"/>
              <w:lang w:val="en-US" w:eastAsia="zh-CN"/>
            </w:rPr>
          </w:pPr>
          <w:r>
            <w:rPr>
              <w:sz w:val="24"/>
              <w:szCs w:val="24"/>
            </w:rPr>
            <w:fldChar w:fldCharType="begin"/>
          </w:r>
          <w:r>
            <w:rPr>
              <w:sz w:val="24"/>
              <w:szCs w:val="24"/>
            </w:rPr>
            <w:instrText xml:space="preserve"> HYPERLINK \l "_toc_auto_9" </w:instrText>
          </w:r>
          <w:r>
            <w:rPr>
              <w:sz w:val="24"/>
              <w:szCs w:val="24"/>
            </w:rPr>
            <w:fldChar w:fldCharType="separate"/>
          </w:r>
          <w:r>
            <w:rPr>
              <w:sz w:val="24"/>
              <w:szCs w:val="24"/>
            </w:rPr>
            <w:t>两高发布内幕交易新规——依法从严惩处证券犯罪</w:t>
          </w:r>
          <w:r>
            <w:rPr>
              <w:sz w:val="24"/>
              <w:szCs w:val="24"/>
            </w:rPr>
            <w:fldChar w:fldCharType="end"/>
          </w:r>
          <w:r>
            <w:rPr>
              <w:rFonts w:hint="eastAsia"/>
              <w:sz w:val="24"/>
              <w:szCs w:val="24"/>
              <w:lang w:val="en-US" w:eastAsia="zh-CN"/>
            </w:rPr>
            <w:t>...................................................7</w:t>
          </w:r>
        </w:p>
        <w:p w14:paraId="7C3A9DBF">
          <w:pPr>
            <w:pStyle w:val="12"/>
            <w:keepNext w:val="0"/>
            <w:keepLines w:val="0"/>
            <w:pageBreakBefore w:val="0"/>
            <w:widowControl/>
            <w:kinsoku/>
            <w:wordWrap/>
            <w:overflowPunct/>
            <w:topLinePunct w:val="0"/>
            <w:autoSpaceDE/>
            <w:autoSpaceDN/>
            <w:bidi w:val="0"/>
            <w:adjustRightInd/>
            <w:snapToGrid/>
            <w:spacing w:line="520" w:lineRule="exact"/>
            <w:textAlignment w:val="auto"/>
            <w:rPr>
              <w:rFonts w:hint="default" w:eastAsia="微软雅黑"/>
              <w:sz w:val="28"/>
              <w:szCs w:val="28"/>
              <w:lang w:val="en-US" w:eastAsia="zh-CN"/>
            </w:rPr>
          </w:pPr>
          <w:r>
            <w:rPr>
              <w:sz w:val="28"/>
              <w:szCs w:val="28"/>
            </w:rPr>
            <w:fldChar w:fldCharType="begin"/>
          </w:r>
          <w:r>
            <w:rPr>
              <w:sz w:val="28"/>
              <w:szCs w:val="28"/>
            </w:rPr>
            <w:instrText xml:space="preserve"> HYPERLINK \l "_legal" </w:instrText>
          </w:r>
          <w:r>
            <w:rPr>
              <w:sz w:val="28"/>
              <w:szCs w:val="28"/>
            </w:rPr>
            <w:fldChar w:fldCharType="separate"/>
          </w:r>
          <w:r>
            <w:rPr>
              <w:rFonts w:hint="eastAsia"/>
              <w:sz w:val="28"/>
              <w:szCs w:val="28"/>
              <w:lang w:val="en-US" w:eastAsia="zh-CN"/>
            </w:rPr>
            <w:t>四</w:t>
          </w:r>
          <w:r>
            <w:rPr>
              <w:sz w:val="28"/>
              <w:szCs w:val="28"/>
            </w:rPr>
            <w:t>、前沿法律</w:t>
          </w:r>
          <w:r>
            <w:rPr>
              <w:sz w:val="28"/>
              <w:szCs w:val="28"/>
            </w:rPr>
            <w:fldChar w:fldCharType="end"/>
          </w:r>
          <w:r>
            <w:rPr>
              <w:rFonts w:hint="eastAsia"/>
              <w:b w:val="0"/>
              <w:bCs/>
              <w:sz w:val="28"/>
              <w:szCs w:val="28"/>
              <w:lang w:val="en-US" w:eastAsia="zh-CN"/>
            </w:rPr>
            <w:t>........................................................................................................</w:t>
          </w:r>
          <w:r>
            <w:rPr>
              <w:rFonts w:hint="eastAsia"/>
              <w:b w:val="0"/>
              <w:bCs/>
              <w:sz w:val="24"/>
              <w:szCs w:val="24"/>
              <w:lang w:val="en-US" w:eastAsia="zh-CN"/>
            </w:rPr>
            <w:t>9</w:t>
          </w:r>
        </w:p>
        <w:p w14:paraId="480E8FF3">
          <w:pPr>
            <w:pStyle w:val="14"/>
            <w:keepNext w:val="0"/>
            <w:keepLines w:val="0"/>
            <w:pageBreakBefore w:val="0"/>
            <w:widowControl/>
            <w:kinsoku/>
            <w:wordWrap/>
            <w:overflowPunct/>
            <w:topLinePunct w:val="0"/>
            <w:autoSpaceDE/>
            <w:autoSpaceDN/>
            <w:bidi w:val="0"/>
            <w:adjustRightInd/>
            <w:snapToGrid/>
            <w:spacing w:line="520" w:lineRule="exact"/>
            <w:textAlignment w:val="auto"/>
            <w:rPr>
              <w:rFonts w:hint="default" w:eastAsia="微软雅黑"/>
              <w:sz w:val="24"/>
              <w:szCs w:val="24"/>
              <w:lang w:val="en-US" w:eastAsia="zh-CN"/>
            </w:rPr>
          </w:pPr>
          <w:r>
            <w:rPr>
              <w:rFonts w:hint="eastAsia"/>
              <w:sz w:val="24"/>
              <w:szCs w:val="24"/>
              <w:lang w:val="en-US" w:eastAsia="zh-CN"/>
            </w:rPr>
            <w:t>(一)</w:t>
          </w:r>
          <w:r>
            <w:rPr>
              <w:sz w:val="24"/>
              <w:szCs w:val="24"/>
            </w:rPr>
            <w:fldChar w:fldCharType="begin"/>
          </w:r>
          <w:r>
            <w:rPr>
              <w:sz w:val="24"/>
              <w:szCs w:val="24"/>
            </w:rPr>
            <w:instrText xml:space="preserve"> HYPERLINK \l "_toc_auto_11" </w:instrText>
          </w:r>
          <w:r>
            <w:rPr>
              <w:sz w:val="24"/>
              <w:szCs w:val="24"/>
            </w:rPr>
            <w:fldChar w:fldCharType="separate"/>
          </w:r>
          <w:r>
            <w:rPr>
              <w:sz w:val="24"/>
              <w:szCs w:val="24"/>
            </w:rPr>
            <w:t>反洗钱法</w:t>
          </w:r>
          <w:r>
            <w:rPr>
              <w:sz w:val="24"/>
              <w:szCs w:val="24"/>
            </w:rPr>
            <w:fldChar w:fldCharType="end"/>
          </w:r>
          <w:r>
            <w:rPr>
              <w:rFonts w:hint="eastAsia"/>
              <w:sz w:val="24"/>
              <w:szCs w:val="24"/>
              <w:lang w:val="en-US" w:eastAsia="zh-CN"/>
            </w:rPr>
            <w:t>........................................................................................................................9</w:t>
          </w:r>
        </w:p>
        <w:p w14:paraId="2A8B8B05">
          <w:pPr>
            <w:pStyle w:val="14"/>
            <w:keepNext w:val="0"/>
            <w:keepLines w:val="0"/>
            <w:pageBreakBefore w:val="0"/>
            <w:widowControl/>
            <w:kinsoku/>
            <w:wordWrap/>
            <w:overflowPunct/>
            <w:topLinePunct w:val="0"/>
            <w:autoSpaceDE/>
            <w:autoSpaceDN/>
            <w:bidi w:val="0"/>
            <w:adjustRightInd/>
            <w:snapToGrid/>
            <w:spacing w:line="520" w:lineRule="exact"/>
            <w:textAlignment w:val="auto"/>
            <w:rPr>
              <w:rFonts w:hint="default" w:eastAsia="微软雅黑"/>
              <w:sz w:val="24"/>
              <w:szCs w:val="24"/>
              <w:lang w:val="en-US" w:eastAsia="zh-CN"/>
            </w:rPr>
          </w:pPr>
          <w:r>
            <w:rPr>
              <w:rFonts w:hint="eastAsia"/>
              <w:sz w:val="24"/>
              <w:szCs w:val="24"/>
              <w:lang w:val="en-US" w:eastAsia="zh-CN"/>
            </w:rPr>
            <w:t>(二)</w:t>
          </w:r>
          <w:r>
            <w:rPr>
              <w:sz w:val="24"/>
              <w:szCs w:val="24"/>
            </w:rPr>
            <w:fldChar w:fldCharType="begin"/>
          </w:r>
          <w:r>
            <w:rPr>
              <w:sz w:val="24"/>
              <w:szCs w:val="24"/>
            </w:rPr>
            <w:instrText xml:space="preserve"> HYPERLINK \l "_toc_auto_12" </w:instrText>
          </w:r>
          <w:r>
            <w:rPr>
              <w:sz w:val="24"/>
              <w:szCs w:val="24"/>
            </w:rPr>
            <w:fldChar w:fldCharType="separate"/>
          </w:r>
          <w:r>
            <w:rPr>
              <w:sz w:val="24"/>
              <w:szCs w:val="24"/>
            </w:rPr>
            <w:t>保险法修订进展</w:t>
          </w:r>
          <w:r>
            <w:rPr>
              <w:sz w:val="24"/>
              <w:szCs w:val="24"/>
            </w:rPr>
            <w:fldChar w:fldCharType="end"/>
          </w:r>
          <w:r>
            <w:rPr>
              <w:rFonts w:hint="eastAsia"/>
              <w:sz w:val="24"/>
              <w:szCs w:val="24"/>
              <w:lang w:val="en-US" w:eastAsia="zh-CN"/>
            </w:rPr>
            <w:t>.........................................................................................................10</w:t>
          </w:r>
        </w:p>
        <w:p w14:paraId="6BCC46C0">
          <w:pPr>
            <w:pStyle w:val="14"/>
            <w:keepNext w:val="0"/>
            <w:keepLines w:val="0"/>
            <w:pageBreakBefore w:val="0"/>
            <w:widowControl/>
            <w:kinsoku/>
            <w:wordWrap/>
            <w:overflowPunct/>
            <w:topLinePunct w:val="0"/>
            <w:autoSpaceDE/>
            <w:autoSpaceDN/>
            <w:bidi w:val="0"/>
            <w:adjustRightInd/>
            <w:snapToGrid/>
            <w:spacing w:line="520" w:lineRule="exact"/>
            <w:textAlignment w:val="auto"/>
            <w:rPr>
              <w:rFonts w:hint="default"/>
              <w:sz w:val="24"/>
              <w:szCs w:val="24"/>
              <w:lang w:val="en-US"/>
            </w:rPr>
          </w:pPr>
          <w:r>
            <w:rPr>
              <w:rFonts w:hint="eastAsia"/>
              <w:sz w:val="24"/>
              <w:szCs w:val="24"/>
              <w:lang w:val="en-US" w:eastAsia="zh-CN"/>
            </w:rPr>
            <w:t>(三)《金融法(草案)》完成首次审议..............................................................................11</w:t>
          </w:r>
        </w:p>
        <w:p w14:paraId="472D358E">
          <w:pPr>
            <w:pStyle w:val="14"/>
            <w:keepNext w:val="0"/>
            <w:keepLines w:val="0"/>
            <w:pageBreakBefore w:val="0"/>
            <w:widowControl/>
            <w:kinsoku/>
            <w:wordWrap/>
            <w:overflowPunct/>
            <w:topLinePunct w:val="0"/>
            <w:autoSpaceDE/>
            <w:autoSpaceDN/>
            <w:bidi w:val="0"/>
            <w:adjustRightInd/>
            <w:snapToGrid/>
            <w:spacing w:line="520" w:lineRule="exact"/>
            <w:textAlignment w:val="auto"/>
            <w:rPr>
              <w:rFonts w:hint="default"/>
              <w:sz w:val="24"/>
              <w:szCs w:val="24"/>
              <w:lang w:val="en-US"/>
            </w:rPr>
          </w:pPr>
          <w:r>
            <w:rPr>
              <w:rFonts w:hint="eastAsia"/>
              <w:sz w:val="24"/>
              <w:szCs w:val="24"/>
              <w:lang w:val="en-US" w:eastAsia="zh-CN"/>
            </w:rPr>
            <w:t>(四)《银行法(修订草案)》同步推进.............................................................................36</w:t>
          </w:r>
        </w:p>
        <w:p w14:paraId="366950FC">
          <w:pPr>
            <w:pStyle w:val="12"/>
            <w:keepNext w:val="0"/>
            <w:keepLines w:val="0"/>
            <w:pageBreakBefore w:val="0"/>
            <w:widowControl/>
            <w:kinsoku/>
            <w:wordWrap/>
            <w:overflowPunct/>
            <w:topLinePunct w:val="0"/>
            <w:autoSpaceDE/>
            <w:autoSpaceDN/>
            <w:bidi w:val="0"/>
            <w:adjustRightInd/>
            <w:snapToGrid/>
            <w:spacing w:line="520" w:lineRule="exact"/>
            <w:textAlignment w:val="auto"/>
            <w:rPr>
              <w:rFonts w:hint="default" w:eastAsia="微软雅黑"/>
              <w:lang w:val="en-US" w:eastAsia="zh-CN"/>
            </w:rPr>
          </w:pPr>
          <w:r>
            <w:rPr>
              <w:sz w:val="28"/>
              <w:szCs w:val="28"/>
            </w:rPr>
            <w:fldChar w:fldCharType="begin"/>
          </w:r>
          <w:r>
            <w:rPr>
              <w:sz w:val="28"/>
              <w:szCs w:val="28"/>
            </w:rPr>
            <w:instrText xml:space="preserve"> HYPERLINK \l "_practice" </w:instrText>
          </w:r>
          <w:r>
            <w:rPr>
              <w:sz w:val="28"/>
              <w:szCs w:val="28"/>
            </w:rPr>
            <w:fldChar w:fldCharType="separate"/>
          </w:r>
          <w:r>
            <w:rPr>
              <w:rFonts w:hint="eastAsia"/>
              <w:sz w:val="28"/>
              <w:szCs w:val="28"/>
              <w:lang w:val="en-US" w:eastAsia="zh-CN"/>
            </w:rPr>
            <w:t>五</w:t>
          </w:r>
          <w:r>
            <w:rPr>
              <w:sz w:val="28"/>
              <w:szCs w:val="28"/>
            </w:rPr>
            <w:t>、实务热点难点</w:t>
          </w:r>
          <w:r>
            <w:rPr>
              <w:sz w:val="28"/>
              <w:szCs w:val="28"/>
            </w:rPr>
            <w:fldChar w:fldCharType="end"/>
          </w:r>
          <w:r>
            <w:rPr>
              <w:rFonts w:hint="eastAsia"/>
              <w:b w:val="0"/>
              <w:bCs/>
              <w:sz w:val="28"/>
              <w:szCs w:val="28"/>
              <w:lang w:val="en-US" w:eastAsia="zh-CN"/>
            </w:rPr>
            <w:t>.............................................................................................</w:t>
          </w:r>
          <w:r>
            <w:rPr>
              <w:rFonts w:hint="eastAsia"/>
              <w:b w:val="0"/>
              <w:bCs/>
              <w:lang w:val="en-US" w:eastAsia="zh-CN"/>
            </w:rPr>
            <w:t>.48</w:t>
          </w:r>
        </w:p>
        <w:p w14:paraId="395A1B52">
          <w:pPr>
            <w:pStyle w:val="14"/>
            <w:keepNext w:val="0"/>
            <w:keepLines w:val="0"/>
            <w:pageBreakBefore w:val="0"/>
            <w:widowControl/>
            <w:kinsoku/>
            <w:wordWrap/>
            <w:overflowPunct/>
            <w:topLinePunct w:val="0"/>
            <w:autoSpaceDE/>
            <w:autoSpaceDN/>
            <w:bidi w:val="0"/>
            <w:adjustRightInd/>
            <w:snapToGrid/>
            <w:spacing w:line="520" w:lineRule="exact"/>
            <w:ind w:left="420"/>
            <w:textAlignment w:val="auto"/>
            <w:rPr>
              <w:rFonts w:hint="default" w:eastAsia="微软雅黑"/>
              <w:sz w:val="24"/>
              <w:szCs w:val="24"/>
              <w:lang w:val="en-US" w:eastAsia="zh-CN"/>
            </w:rPr>
          </w:pPr>
          <w:r>
            <w:rPr>
              <w:sz w:val="24"/>
              <w:szCs w:val="24"/>
            </w:rPr>
            <w:fldChar w:fldCharType="begin"/>
          </w:r>
          <w:r>
            <w:rPr>
              <w:sz w:val="24"/>
              <w:szCs w:val="24"/>
            </w:rPr>
            <w:instrText xml:space="preserve"> HYPERLINK \l "_toc_auto_16" </w:instrText>
          </w:r>
          <w:r>
            <w:rPr>
              <w:sz w:val="24"/>
              <w:szCs w:val="24"/>
            </w:rPr>
            <w:fldChar w:fldCharType="separate"/>
          </w:r>
          <w:r>
            <w:rPr>
              <w:rFonts w:hint="eastAsia"/>
              <w:sz w:val="24"/>
              <w:szCs w:val="24"/>
            </w:rPr>
            <w:t>专题一：涉科技保险案件的法律实务难点</w:t>
          </w:r>
          <w:r>
            <w:rPr>
              <w:sz w:val="24"/>
              <w:szCs w:val="24"/>
            </w:rPr>
            <w:fldChar w:fldCharType="end"/>
          </w:r>
          <w:r>
            <w:rPr>
              <w:rFonts w:hint="eastAsia"/>
              <w:sz w:val="24"/>
              <w:szCs w:val="24"/>
              <w:lang w:val="en-US" w:eastAsia="zh-CN"/>
            </w:rPr>
            <w:t>..................................................................48</w:t>
          </w:r>
        </w:p>
        <w:p w14:paraId="0ABC574C">
          <w:pPr>
            <w:pStyle w:val="14"/>
            <w:keepNext w:val="0"/>
            <w:keepLines w:val="0"/>
            <w:pageBreakBefore w:val="0"/>
            <w:widowControl/>
            <w:kinsoku/>
            <w:wordWrap/>
            <w:overflowPunct/>
            <w:topLinePunct w:val="0"/>
            <w:autoSpaceDE/>
            <w:autoSpaceDN/>
            <w:bidi w:val="0"/>
            <w:adjustRightInd/>
            <w:snapToGrid/>
            <w:spacing w:line="520" w:lineRule="exact"/>
            <w:ind w:left="420"/>
            <w:textAlignment w:val="auto"/>
            <w:rPr>
              <w:rFonts w:hint="default" w:eastAsia="微软雅黑"/>
              <w:sz w:val="24"/>
              <w:szCs w:val="24"/>
              <w:lang w:val="en-US" w:eastAsia="zh-CN"/>
            </w:rPr>
          </w:pPr>
          <w:r>
            <w:rPr>
              <w:rFonts w:hint="eastAsia"/>
              <w:sz w:val="24"/>
              <w:szCs w:val="24"/>
            </w:rPr>
            <w:t>专题二：人民法院案例库典型案例选编</w:t>
          </w:r>
          <w:r>
            <w:rPr>
              <w:rFonts w:hint="eastAsia"/>
              <w:sz w:val="24"/>
              <w:szCs w:val="24"/>
              <w:lang w:val="en-US" w:eastAsia="zh-CN"/>
            </w:rPr>
            <w:t>......................................................................49</w:t>
          </w:r>
        </w:p>
        <w:p w14:paraId="589C4046">
          <w:pPr>
            <w:pStyle w:val="14"/>
            <w:keepNext w:val="0"/>
            <w:keepLines w:val="0"/>
            <w:pageBreakBefore w:val="0"/>
            <w:widowControl/>
            <w:kinsoku/>
            <w:wordWrap/>
            <w:overflowPunct/>
            <w:topLinePunct w:val="0"/>
            <w:autoSpaceDE/>
            <w:autoSpaceDN/>
            <w:bidi w:val="0"/>
            <w:adjustRightInd/>
            <w:snapToGrid/>
            <w:spacing w:line="520" w:lineRule="exact"/>
            <w:ind w:left="420"/>
            <w:textAlignment w:val="auto"/>
            <w:rPr>
              <w:rFonts w:hint="default" w:eastAsia="微软雅黑"/>
              <w:sz w:val="24"/>
              <w:szCs w:val="24"/>
              <w:lang w:val="en-US" w:eastAsia="zh-CN"/>
            </w:rPr>
          </w:pPr>
          <w:r>
            <w:rPr>
              <w:rFonts w:hint="eastAsia"/>
              <w:sz w:val="24"/>
              <w:szCs w:val="24"/>
            </w:rPr>
            <w:t>专题三：法答网精选——金融保险相关答疑摘录</w:t>
          </w:r>
          <w:r>
            <w:rPr>
              <w:rFonts w:hint="eastAsia"/>
              <w:sz w:val="24"/>
              <w:szCs w:val="24"/>
              <w:lang w:val="en-US" w:eastAsia="zh-CN"/>
            </w:rPr>
            <w:t>..................................................135</w:t>
          </w:r>
        </w:p>
        <w:p w14:paraId="1A060DB6">
          <w:pPr>
            <w:pStyle w:val="14"/>
            <w:spacing w:line="240" w:lineRule="auto"/>
            <w:ind w:left="0" w:leftChars="0" w:firstLine="0" w:firstLineChars="0"/>
            <w:rPr>
              <w:rFonts w:hint="eastAsia" w:ascii="黑体" w:hAnsi="黑体" w:eastAsia="黑体" w:cs="黑体"/>
              <w:b/>
              <w:bCs/>
              <w:color w:val="1B3A5C"/>
              <w:sz w:val="40"/>
              <w:szCs w:val="40"/>
            </w:rPr>
            <w:sectPr>
              <w:pgSz w:w="11906" w:h="16838"/>
              <w:pgMar w:top="1440" w:right="1440" w:bottom="1440" w:left="1440" w:header="708" w:footer="708" w:gutter="0"/>
              <w:cols w:space="720" w:num="1"/>
              <w:titlePg/>
              <w:docGrid w:linePitch="360" w:charSpace="0"/>
            </w:sectPr>
          </w:pPr>
          <w:r>
            <w:fldChar w:fldCharType="end"/>
          </w:r>
          <w:bookmarkStart w:id="0" w:name="_monthly"/>
        </w:p>
      </w:sdtContent>
    </w:sdt>
    <w:p w14:paraId="559DB48C">
      <w:pPr>
        <w:pStyle w:val="2"/>
        <w:keepNext/>
        <w:keepLines/>
        <w:numPr>
          <w:ilvl w:val="0"/>
          <w:numId w:val="0"/>
        </w:numPr>
        <w:spacing w:before="400" w:after="200"/>
        <w:rPr>
          <w:rFonts w:ascii="黑体" w:hAnsi="黑体" w:eastAsia="黑体" w:cs="黑体"/>
          <w:b/>
          <w:bCs/>
          <w:color w:val="1B3A5C"/>
          <w:sz w:val="40"/>
          <w:szCs w:val="40"/>
        </w:rPr>
      </w:pPr>
      <w:r>
        <w:rPr>
          <w:rFonts w:hint="eastAsia" w:ascii="黑体" w:hAnsi="黑体" w:eastAsia="黑体" w:cs="黑体"/>
          <w:b/>
          <w:bCs/>
          <w:color w:val="1B3A5C"/>
          <w:sz w:val="40"/>
          <w:szCs w:val="40"/>
        </w:rPr>
        <w:t>一、</w:t>
      </w:r>
      <w:r>
        <w:rPr>
          <w:rFonts w:ascii="黑体" w:hAnsi="黑体" w:eastAsia="黑体" w:cs="黑体"/>
          <w:b/>
          <w:bCs/>
          <w:color w:val="1B3A5C"/>
          <w:sz w:val="40"/>
          <w:szCs w:val="40"/>
        </w:rPr>
        <w:t>月度财经速览</w:t>
      </w:r>
      <w:bookmarkEnd w:id="0"/>
    </w:p>
    <w:p w14:paraId="3D4EE0DF">
      <w:pPr>
        <w:spacing w:after="120" w:line="360" w:lineRule="auto"/>
        <w:ind w:firstLine="480"/>
        <w:rPr>
          <w:sz w:val="24"/>
          <w:szCs w:val="24"/>
        </w:rPr>
      </w:pPr>
      <w:r>
        <w:rPr>
          <w:rFonts w:ascii="微软雅黑" w:hAnsi="微软雅黑" w:eastAsia="微软雅黑" w:cs="微软雅黑"/>
          <w:color w:val="2C2C2C"/>
          <w:sz w:val="24"/>
          <w:szCs w:val="24"/>
        </w:rPr>
        <w:t>1</w:t>
      </w:r>
      <w:r>
        <w:rPr>
          <w:rFonts w:hint="eastAsia" w:cs="微软雅黑"/>
          <w:color w:val="2C2C2C"/>
          <w:sz w:val="24"/>
          <w:szCs w:val="24"/>
          <w:lang w:eastAsia="zh-CN"/>
        </w:rPr>
        <w:t>.</w:t>
      </w:r>
      <w:r>
        <w:rPr>
          <w:rFonts w:ascii="微软雅黑" w:hAnsi="微软雅黑" w:eastAsia="微软雅黑" w:cs="微软雅黑"/>
          <w:color w:val="2C2C2C"/>
          <w:sz w:val="24"/>
          <w:szCs w:val="24"/>
        </w:rPr>
        <w:t xml:space="preserve"> 陆家嘴论坛召开，金融监管总局局长丁向群表示加快推动银监法、保险法修订出台，重申有力有序处置中小机构风险为下阶段监管首要工作。</w:t>
      </w:r>
    </w:p>
    <w:p w14:paraId="5313C56D">
      <w:pPr>
        <w:spacing w:after="120" w:line="360" w:lineRule="auto"/>
        <w:ind w:firstLine="480"/>
        <w:rPr>
          <w:sz w:val="24"/>
          <w:szCs w:val="24"/>
        </w:rPr>
      </w:pPr>
      <w:r>
        <w:rPr>
          <w:rFonts w:ascii="微软雅黑" w:hAnsi="微软雅黑" w:eastAsia="微软雅黑" w:cs="微软雅黑"/>
          <w:color w:val="2C2C2C"/>
          <w:sz w:val="24"/>
          <w:szCs w:val="24"/>
        </w:rPr>
        <w:t>2</w:t>
      </w:r>
      <w:r>
        <w:rPr>
          <w:rFonts w:hint="eastAsia" w:cs="微软雅黑"/>
          <w:color w:val="2C2C2C"/>
          <w:sz w:val="24"/>
          <w:szCs w:val="24"/>
          <w:lang w:eastAsia="zh-CN"/>
        </w:rPr>
        <w:t>.</w:t>
      </w:r>
      <w:r>
        <w:rPr>
          <w:rFonts w:ascii="微软雅黑" w:hAnsi="微软雅黑" w:eastAsia="微软雅黑" w:cs="微软雅黑"/>
          <w:color w:val="2C2C2C"/>
          <w:sz w:val="24"/>
          <w:szCs w:val="24"/>
        </w:rPr>
        <w:t xml:space="preserve"> 证监会召开多场座谈会，明确将健全投资</w:t>
      </w:r>
      <w:bookmarkStart w:id="11" w:name="_GoBack"/>
      <w:bookmarkEnd w:id="11"/>
      <w:r>
        <w:rPr>
          <w:rFonts w:ascii="微软雅黑" w:hAnsi="微软雅黑" w:eastAsia="微软雅黑" w:cs="微软雅黑"/>
          <w:color w:val="2C2C2C"/>
          <w:sz w:val="24"/>
          <w:szCs w:val="24"/>
        </w:rPr>
        <w:t>者保护长效机制，持续加强市场基础制度建设，增强市场内在稳定性。</w:t>
      </w:r>
    </w:p>
    <w:p w14:paraId="2CF0C0DC">
      <w:pPr>
        <w:spacing w:after="120" w:line="360" w:lineRule="auto"/>
        <w:ind w:firstLine="480"/>
        <w:rPr>
          <w:sz w:val="24"/>
          <w:szCs w:val="24"/>
        </w:rPr>
      </w:pPr>
      <w:r>
        <w:rPr>
          <w:rFonts w:ascii="微软雅黑" w:hAnsi="微软雅黑" w:eastAsia="微软雅黑" w:cs="微软雅黑"/>
          <w:color w:val="2C2C2C"/>
          <w:sz w:val="24"/>
          <w:szCs w:val="24"/>
        </w:rPr>
        <w:t>3</w:t>
      </w:r>
      <w:r>
        <w:rPr>
          <w:rFonts w:hint="eastAsia" w:cs="微软雅黑"/>
          <w:color w:val="2C2C2C"/>
          <w:sz w:val="24"/>
          <w:szCs w:val="24"/>
          <w:lang w:eastAsia="zh-CN"/>
        </w:rPr>
        <w:t>.</w:t>
      </w:r>
      <w:r>
        <w:rPr>
          <w:rFonts w:ascii="微软雅黑" w:hAnsi="微软雅黑" w:eastAsia="微软雅黑" w:cs="微软雅黑"/>
          <w:color w:val="2C2C2C"/>
          <w:sz w:val="24"/>
          <w:szCs w:val="24"/>
        </w:rPr>
        <w:t>二季度公募基金盈利近1</w:t>
      </w:r>
      <w:r>
        <w:rPr>
          <w:rFonts w:hint="eastAsia" w:cs="微软雅黑"/>
          <w:color w:val="2C2C2C"/>
          <w:sz w:val="24"/>
          <w:szCs w:val="24"/>
          <w:lang w:val="en-US" w:eastAsia="zh-CN"/>
        </w:rPr>
        <w:t>.</w:t>
      </w:r>
      <w:r>
        <w:rPr>
          <w:rFonts w:ascii="微软雅黑" w:hAnsi="微软雅黑" w:eastAsia="微软雅黑" w:cs="微软雅黑"/>
          <w:color w:val="2C2C2C"/>
          <w:sz w:val="24"/>
          <w:szCs w:val="24"/>
        </w:rPr>
        <w:t>94万亿元，权益类基金表现突出，市场信心逐步恢复。</w:t>
      </w:r>
    </w:p>
    <w:p w14:paraId="3A8E5926">
      <w:pPr>
        <w:spacing w:after="120" w:line="360" w:lineRule="auto"/>
        <w:ind w:firstLine="480"/>
        <w:rPr>
          <w:sz w:val="24"/>
          <w:szCs w:val="24"/>
        </w:rPr>
      </w:pPr>
      <w:r>
        <w:rPr>
          <w:rFonts w:ascii="微软雅黑" w:hAnsi="微软雅黑" w:eastAsia="微软雅黑" w:cs="微软雅黑"/>
          <w:color w:val="2C2C2C"/>
          <w:sz w:val="24"/>
          <w:szCs w:val="24"/>
        </w:rPr>
        <w:t>4</w:t>
      </w:r>
      <w:r>
        <w:rPr>
          <w:rFonts w:hint="eastAsia" w:cs="微软雅黑"/>
          <w:color w:val="2C2C2C"/>
          <w:sz w:val="24"/>
          <w:szCs w:val="24"/>
          <w:lang w:eastAsia="zh-CN"/>
        </w:rPr>
        <w:t>.</w:t>
      </w:r>
      <w:r>
        <w:rPr>
          <w:rFonts w:ascii="微软雅黑" w:hAnsi="微软雅黑" w:eastAsia="微软雅黑" w:cs="微软雅黑"/>
          <w:color w:val="2C2C2C"/>
          <w:sz w:val="24"/>
          <w:szCs w:val="24"/>
        </w:rPr>
        <w:t>长鑫科技7月27日上市交易，成为半导体领域年度重要IPO，市场关注度极高。</w:t>
      </w:r>
    </w:p>
    <w:p w14:paraId="7F24E700">
      <w:pPr>
        <w:spacing w:after="120" w:line="360" w:lineRule="auto"/>
        <w:ind w:firstLine="480"/>
        <w:rPr>
          <w:sz w:val="24"/>
          <w:szCs w:val="24"/>
        </w:rPr>
      </w:pPr>
      <w:r>
        <w:rPr>
          <w:rFonts w:ascii="微软雅黑" w:hAnsi="微软雅黑" w:eastAsia="微软雅黑" w:cs="微软雅黑"/>
          <w:color w:val="2C2C2C"/>
          <w:sz w:val="24"/>
          <w:szCs w:val="24"/>
        </w:rPr>
        <w:t>5</w:t>
      </w:r>
      <w:r>
        <w:rPr>
          <w:rFonts w:hint="eastAsia" w:cs="微软雅黑"/>
          <w:color w:val="2C2C2C"/>
          <w:sz w:val="24"/>
          <w:szCs w:val="24"/>
          <w:lang w:eastAsia="zh-CN"/>
        </w:rPr>
        <w:t>.</w:t>
      </w:r>
      <w:r>
        <w:rPr>
          <w:rFonts w:ascii="微软雅黑" w:hAnsi="微软雅黑" w:eastAsia="微软雅黑" w:cs="微软雅黑"/>
          <w:color w:val="2C2C2C"/>
          <w:sz w:val="24"/>
          <w:szCs w:val="24"/>
        </w:rPr>
        <w:t>宁德时代发布巨额回购方案，提振资本市场信心，新能源板块迎来积极信号。</w:t>
      </w:r>
    </w:p>
    <w:p w14:paraId="11A45FCE">
      <w:pPr>
        <w:spacing w:after="120" w:line="360" w:lineRule="auto"/>
        <w:ind w:firstLine="480"/>
        <w:rPr>
          <w:sz w:val="24"/>
          <w:szCs w:val="24"/>
        </w:rPr>
      </w:pPr>
      <w:r>
        <w:rPr>
          <w:rFonts w:ascii="微软雅黑" w:hAnsi="微软雅黑" w:eastAsia="微软雅黑" w:cs="微软雅黑"/>
          <w:color w:val="2C2C2C"/>
          <w:sz w:val="24"/>
          <w:szCs w:val="24"/>
        </w:rPr>
        <w:t>6</w:t>
      </w:r>
      <w:r>
        <w:rPr>
          <w:rFonts w:hint="eastAsia" w:cs="微软雅黑"/>
          <w:color w:val="2C2C2C"/>
          <w:sz w:val="24"/>
          <w:szCs w:val="24"/>
          <w:lang w:eastAsia="zh-CN"/>
        </w:rPr>
        <w:t>.</w:t>
      </w:r>
      <w:r>
        <w:rPr>
          <w:rFonts w:ascii="微软雅黑" w:hAnsi="微软雅黑" w:eastAsia="微软雅黑" w:cs="微软雅黑"/>
          <w:color w:val="2C2C2C"/>
          <w:sz w:val="24"/>
          <w:szCs w:val="24"/>
        </w:rPr>
        <w:t>希音（Shein）通过港股聆讯，有望成为年度最大IPO之一，跨境电商领域再受关注。</w:t>
      </w:r>
    </w:p>
    <w:p w14:paraId="56E76762">
      <w:pPr>
        <w:spacing w:after="120" w:line="360" w:lineRule="auto"/>
        <w:ind w:firstLine="480"/>
        <w:rPr>
          <w:sz w:val="24"/>
          <w:szCs w:val="24"/>
        </w:rPr>
      </w:pPr>
      <w:r>
        <w:rPr>
          <w:rFonts w:ascii="微软雅黑" w:hAnsi="微软雅黑" w:eastAsia="微软雅黑" w:cs="微软雅黑"/>
          <w:color w:val="2C2C2C"/>
          <w:sz w:val="24"/>
          <w:szCs w:val="24"/>
        </w:rPr>
        <w:t>7</w:t>
      </w:r>
      <w:r>
        <w:rPr>
          <w:rFonts w:hint="eastAsia" w:cs="微软雅黑"/>
          <w:color w:val="2C2C2C"/>
          <w:sz w:val="24"/>
          <w:szCs w:val="24"/>
          <w:lang w:eastAsia="zh-CN"/>
        </w:rPr>
        <w:t>.</w:t>
      </w:r>
      <w:r>
        <w:rPr>
          <w:rFonts w:ascii="微软雅黑" w:hAnsi="微软雅黑" w:eastAsia="微软雅黑" w:cs="微软雅黑"/>
          <w:color w:val="2C2C2C"/>
          <w:sz w:val="24"/>
          <w:szCs w:val="24"/>
        </w:rPr>
        <w:t>北交所上市公司7月掀起增持回购潮，截至7月24日已有7家披露增持计划，超20家公司披露回购计划。</w:t>
      </w:r>
    </w:p>
    <w:p w14:paraId="4BC9B290">
      <w:pPr>
        <w:spacing w:after="120" w:line="360" w:lineRule="auto"/>
        <w:ind w:firstLine="480"/>
        <w:rPr>
          <w:sz w:val="24"/>
          <w:szCs w:val="24"/>
        </w:rPr>
      </w:pPr>
      <w:r>
        <w:rPr>
          <w:rFonts w:ascii="微软雅黑" w:hAnsi="微软雅黑" w:eastAsia="微软雅黑" w:cs="微软雅黑"/>
          <w:color w:val="2C2C2C"/>
          <w:sz w:val="24"/>
          <w:szCs w:val="24"/>
        </w:rPr>
        <w:t>8</w:t>
      </w:r>
      <w:r>
        <w:rPr>
          <w:rFonts w:hint="eastAsia" w:cs="微软雅黑"/>
          <w:color w:val="2C2C2C"/>
          <w:sz w:val="24"/>
          <w:szCs w:val="24"/>
          <w:lang w:eastAsia="zh-CN"/>
        </w:rPr>
        <w:t>.</w:t>
      </w:r>
      <w:r>
        <w:rPr>
          <w:rFonts w:ascii="微软雅黑" w:hAnsi="微软雅黑" w:eastAsia="微软雅黑" w:cs="微软雅黑"/>
          <w:color w:val="2C2C2C"/>
          <w:sz w:val="24"/>
          <w:szCs w:val="24"/>
        </w:rPr>
        <w:t>金融监管总局发布《关于银行业保险业人工智能安全开发应用的指导意见》，推动金融科技规范发展。</w:t>
      </w:r>
    </w:p>
    <w:p w14:paraId="4F7E5D47">
      <w:pPr>
        <w:spacing w:after="120" w:line="360" w:lineRule="auto"/>
        <w:ind w:firstLine="480"/>
        <w:rPr>
          <w:sz w:val="24"/>
          <w:szCs w:val="24"/>
        </w:rPr>
      </w:pPr>
      <w:r>
        <w:rPr>
          <w:rFonts w:ascii="微软雅黑" w:hAnsi="微软雅黑" w:eastAsia="微软雅黑" w:cs="微软雅黑"/>
          <w:color w:val="2C2C2C"/>
          <w:sz w:val="24"/>
          <w:szCs w:val="24"/>
        </w:rPr>
        <w:t>9</w:t>
      </w:r>
      <w:r>
        <w:rPr>
          <w:rFonts w:hint="eastAsia" w:cs="微软雅黑"/>
          <w:color w:val="2C2C2C"/>
          <w:sz w:val="24"/>
          <w:szCs w:val="24"/>
          <w:lang w:eastAsia="zh-CN"/>
        </w:rPr>
        <w:t>.</w:t>
      </w:r>
      <w:r>
        <w:rPr>
          <w:rFonts w:ascii="微软雅黑" w:hAnsi="微软雅黑" w:eastAsia="微软雅黑" w:cs="微软雅黑"/>
          <w:color w:val="2C2C2C"/>
          <w:sz w:val="24"/>
          <w:szCs w:val="24"/>
        </w:rPr>
        <w:t>央行等八部门联合推进《反洗钱特别预防措施管理办法》实施，反洗钱监管力度持续升级。</w:t>
      </w:r>
    </w:p>
    <w:p w14:paraId="72964C4C">
      <w:pPr>
        <w:spacing w:after="120" w:line="360" w:lineRule="auto"/>
        <w:ind w:firstLine="480"/>
        <w:rPr>
          <w:rFonts w:ascii="微软雅黑" w:hAnsi="微软雅黑" w:eastAsia="微软雅黑" w:cs="微软雅黑"/>
          <w:color w:val="2C2C2C"/>
          <w:sz w:val="24"/>
          <w:szCs w:val="24"/>
        </w:rPr>
      </w:pPr>
      <w:r>
        <w:rPr>
          <w:rFonts w:ascii="微软雅黑" w:hAnsi="微软雅黑" w:eastAsia="微软雅黑" w:cs="微软雅黑"/>
          <w:color w:val="2C2C2C"/>
          <w:sz w:val="24"/>
          <w:szCs w:val="24"/>
        </w:rPr>
        <w:t>10</w:t>
      </w:r>
      <w:r>
        <w:rPr>
          <w:rFonts w:hint="eastAsia" w:cs="微软雅黑"/>
          <w:color w:val="2C2C2C"/>
          <w:sz w:val="24"/>
          <w:szCs w:val="24"/>
          <w:lang w:eastAsia="zh-CN"/>
        </w:rPr>
        <w:t>.金融监管总局等九部门联合印发《关于加强科技金融领域数据开发利用的通知》 ，推动科技金融数据共建共享</w:t>
      </w:r>
      <w:r>
        <w:rPr>
          <w:rFonts w:ascii="微软雅黑" w:hAnsi="微软雅黑" w:eastAsia="微软雅黑" w:cs="微软雅黑"/>
          <w:color w:val="2C2C2C"/>
          <w:sz w:val="24"/>
          <w:szCs w:val="24"/>
        </w:rPr>
        <w:t>。</w:t>
      </w:r>
    </w:p>
    <w:p w14:paraId="298CC9A8">
      <w:pPr>
        <w:pStyle w:val="2"/>
        <w:keepNext/>
        <w:keepLines/>
        <w:numPr>
          <w:ilvl w:val="0"/>
          <w:numId w:val="0"/>
        </w:numPr>
        <w:spacing w:before="400" w:after="200"/>
        <w:rPr>
          <w:rFonts w:ascii="黑体" w:hAnsi="黑体" w:eastAsia="黑体" w:cs="黑体"/>
          <w:b/>
          <w:bCs/>
          <w:color w:val="1B3A5C"/>
          <w:sz w:val="40"/>
          <w:szCs w:val="40"/>
        </w:rPr>
      </w:pPr>
      <w:bookmarkStart w:id="1" w:name="_policy"/>
      <w:r>
        <w:rPr>
          <w:rFonts w:hint="eastAsia" w:ascii="黑体" w:hAnsi="黑体" w:eastAsia="黑体" w:cs="黑体"/>
          <w:b/>
          <w:bCs/>
          <w:color w:val="1B3A5C"/>
          <w:sz w:val="40"/>
          <w:szCs w:val="40"/>
        </w:rPr>
        <w:t>二、</w:t>
      </w:r>
      <w:r>
        <w:rPr>
          <w:rFonts w:ascii="黑体" w:hAnsi="黑体" w:eastAsia="黑体" w:cs="黑体"/>
          <w:b/>
          <w:bCs/>
          <w:color w:val="1B3A5C"/>
          <w:sz w:val="40"/>
          <w:szCs w:val="40"/>
        </w:rPr>
        <w:t>政策新规速递</w:t>
      </w:r>
      <w:bookmarkEnd w:id="1"/>
      <w:bookmarkStart w:id="2" w:name="_toc_auto_4"/>
    </w:p>
    <w:p w14:paraId="1013E561">
      <w:pPr>
        <w:pStyle w:val="2"/>
        <w:keepNext/>
        <w:keepLines/>
        <w:numPr>
          <w:ilvl w:val="0"/>
          <w:numId w:val="0"/>
        </w:numPr>
        <w:spacing w:before="400" w:after="200"/>
        <w:rPr>
          <w:rFonts w:ascii="黑体" w:hAnsi="黑体" w:eastAsia="黑体" w:cs="黑体"/>
          <w:b/>
          <w:bCs/>
          <w:color w:val="1B3A5C"/>
          <w:sz w:val="32"/>
          <w:szCs w:val="32"/>
        </w:rPr>
      </w:pPr>
      <w:r>
        <w:rPr>
          <w:rFonts w:hint="eastAsia" w:ascii="黑体" w:hAnsi="黑体" w:eastAsia="黑体" w:cs="黑体"/>
          <w:b/>
          <w:bCs/>
          <w:color w:val="1B3A5C"/>
          <w:sz w:val="32"/>
          <w:szCs w:val="32"/>
        </w:rPr>
        <w:t>（</w:t>
      </w:r>
      <w:r>
        <w:rPr>
          <w:rFonts w:hint="eastAsia" w:cs="黑体"/>
          <w:b/>
          <w:bCs/>
          <w:color w:val="1B3A5C"/>
          <w:sz w:val="32"/>
          <w:szCs w:val="32"/>
          <w:lang w:val="en-US" w:eastAsia="zh-CN"/>
        </w:rPr>
        <w:t>一</w:t>
      </w:r>
      <w:r>
        <w:rPr>
          <w:rFonts w:hint="eastAsia" w:ascii="黑体" w:hAnsi="黑体" w:eastAsia="黑体" w:cs="黑体"/>
          <w:b/>
          <w:bCs/>
          <w:color w:val="1B3A5C"/>
          <w:sz w:val="32"/>
          <w:szCs w:val="32"/>
        </w:rPr>
        <w:t>）</w:t>
      </w:r>
      <w:r>
        <w:rPr>
          <w:rFonts w:hint="default" w:ascii="黑体" w:hAnsi="黑体" w:eastAsia="黑体" w:cs="黑体"/>
          <w:b/>
          <w:bCs/>
          <w:color w:val="1B3A5C"/>
          <w:sz w:val="32"/>
          <w:szCs w:val="32"/>
        </w:rPr>
        <w:t>人身险三项新规7月1日同步落地</w:t>
      </w:r>
    </w:p>
    <w:p w14:paraId="596635E1">
      <w:pPr>
        <w:spacing w:after="120" w:line="360" w:lineRule="auto"/>
        <w:ind w:firstLine="480"/>
        <w:rPr>
          <w:rFonts w:ascii="微软雅黑" w:hAnsi="微软雅黑" w:eastAsia="微软雅黑" w:cs="微软雅黑"/>
          <w:color w:val="2C2C2C"/>
          <w:sz w:val="24"/>
          <w:szCs w:val="24"/>
        </w:rPr>
      </w:pPr>
      <w:r>
        <w:rPr>
          <w:rFonts w:hint="default" w:ascii="微软雅黑" w:hAnsi="微软雅黑" w:eastAsia="微软雅黑" w:cs="微软雅黑"/>
          <w:color w:val="2C2C2C"/>
          <w:sz w:val="24"/>
          <w:szCs w:val="24"/>
        </w:rPr>
        <w:t>7月1日，分红险演示利率新规、银保渠道65号文、《保险产品适当性管理自律规范》三项核心监管政策同步落地实施。</w:t>
      </w:r>
    </w:p>
    <w:p w14:paraId="6906AA0E">
      <w:pPr>
        <w:spacing w:after="120" w:line="360" w:lineRule="auto"/>
        <w:ind w:firstLine="480"/>
        <w:rPr>
          <w:rFonts w:hint="default" w:ascii="微软雅黑" w:hAnsi="微软雅黑" w:eastAsia="微软雅黑" w:cs="微软雅黑"/>
          <w:b/>
          <w:bCs/>
          <w:color w:val="2C2C2C"/>
          <w:sz w:val="24"/>
          <w:szCs w:val="24"/>
        </w:rPr>
      </w:pPr>
      <w:r>
        <w:rPr>
          <w:rFonts w:hint="default" w:ascii="微软雅黑" w:hAnsi="微软雅黑" w:eastAsia="微软雅黑" w:cs="微软雅黑"/>
          <w:b/>
          <w:bCs/>
          <w:color w:val="2C2C2C"/>
          <w:sz w:val="24"/>
          <w:szCs w:val="24"/>
        </w:rPr>
        <w:t>1</w:t>
      </w:r>
      <w:r>
        <w:rPr>
          <w:rFonts w:hint="eastAsia" w:cs="微软雅黑"/>
          <w:b/>
          <w:bCs/>
          <w:color w:val="2C2C2C"/>
          <w:sz w:val="24"/>
          <w:szCs w:val="24"/>
          <w:lang w:eastAsia="zh-CN"/>
        </w:rPr>
        <w:t>.</w:t>
      </w:r>
      <w:r>
        <w:rPr>
          <w:rFonts w:hint="default" w:ascii="微软雅黑" w:hAnsi="微软雅黑" w:eastAsia="微软雅黑" w:cs="微软雅黑"/>
          <w:b/>
          <w:bCs/>
          <w:color w:val="2C2C2C"/>
          <w:sz w:val="24"/>
          <w:szCs w:val="24"/>
        </w:rPr>
        <w:t xml:space="preserve"> 分红险演示利率上限下调</w:t>
      </w:r>
    </w:p>
    <w:p w14:paraId="6EB3FFCA">
      <w:pPr>
        <w:spacing w:after="120" w:line="360" w:lineRule="auto"/>
        <w:ind w:firstLine="480"/>
        <w:rPr>
          <w:rFonts w:hint="default" w:ascii="微软雅黑" w:hAnsi="微软雅黑" w:eastAsia="微软雅黑" w:cs="微软雅黑"/>
          <w:color w:val="2C2C2C"/>
          <w:sz w:val="24"/>
          <w:szCs w:val="24"/>
        </w:rPr>
      </w:pPr>
      <w:r>
        <w:rPr>
          <w:rFonts w:hint="default" w:ascii="微软雅黑" w:hAnsi="微软雅黑" w:eastAsia="微软雅黑" w:cs="微软雅黑"/>
          <w:color w:val="2C2C2C"/>
          <w:sz w:val="24"/>
          <w:szCs w:val="24"/>
        </w:rPr>
        <w:t>根据金融监管总局寿险部专项窗口指导，自7月1日起，全行业分红险高、中、低三档演示利率中的高档上限由3</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rPr>
        <w:t>9%统一下调至3</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rPr>
        <w:t>5%，各保险公司高于3</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rPr>
        <w:t>5%演示利率的产品须在6月30日前完成变更备案或停售。</w:t>
      </w:r>
    </w:p>
    <w:p w14:paraId="63C80D66">
      <w:pPr>
        <w:spacing w:after="120" w:line="360" w:lineRule="auto"/>
        <w:ind w:firstLine="480"/>
        <w:rPr>
          <w:rFonts w:hint="default" w:ascii="微软雅黑" w:hAnsi="微软雅黑" w:eastAsia="微软雅黑" w:cs="微软雅黑"/>
          <w:b/>
          <w:bCs/>
          <w:color w:val="2C2C2C"/>
          <w:sz w:val="24"/>
          <w:szCs w:val="24"/>
        </w:rPr>
      </w:pPr>
      <w:r>
        <w:rPr>
          <w:rFonts w:hint="default" w:ascii="微软雅黑" w:hAnsi="微软雅黑" w:eastAsia="微软雅黑" w:cs="微软雅黑"/>
          <w:b/>
          <w:bCs/>
          <w:color w:val="2C2C2C"/>
          <w:sz w:val="24"/>
          <w:szCs w:val="24"/>
        </w:rPr>
        <w:t>2</w:t>
      </w:r>
      <w:r>
        <w:rPr>
          <w:rFonts w:hint="eastAsia" w:cs="微软雅黑"/>
          <w:b/>
          <w:bCs/>
          <w:color w:val="2C2C2C"/>
          <w:sz w:val="24"/>
          <w:szCs w:val="24"/>
          <w:lang w:eastAsia="zh-CN"/>
        </w:rPr>
        <w:t>.</w:t>
      </w:r>
      <w:r>
        <w:rPr>
          <w:rFonts w:hint="default" w:ascii="微软雅黑" w:hAnsi="微软雅黑" w:eastAsia="微软雅黑" w:cs="微软雅黑"/>
          <w:b/>
          <w:bCs/>
          <w:color w:val="2C2C2C"/>
          <w:sz w:val="24"/>
          <w:szCs w:val="24"/>
        </w:rPr>
        <w:t xml:space="preserve"> 银保渠道65号文正式执行</w:t>
      </w:r>
    </w:p>
    <w:p w14:paraId="04874C6A">
      <w:pPr>
        <w:spacing w:after="120" w:line="360" w:lineRule="auto"/>
        <w:ind w:firstLine="480"/>
        <w:rPr>
          <w:rFonts w:hint="default" w:ascii="微软雅黑" w:hAnsi="微软雅黑" w:eastAsia="微软雅黑" w:cs="微软雅黑"/>
          <w:color w:val="2C2C2C"/>
          <w:sz w:val="24"/>
          <w:szCs w:val="24"/>
        </w:rPr>
      </w:pPr>
      <w:r>
        <w:rPr>
          <w:rFonts w:hint="default" w:ascii="微软雅黑" w:hAnsi="微软雅黑" w:eastAsia="微软雅黑" w:cs="微软雅黑"/>
          <w:color w:val="2C2C2C"/>
          <w:sz w:val="24"/>
          <w:szCs w:val="24"/>
        </w:rPr>
        <w:t>《关于进一步加强银行代理渠道费用管理有关事项的通知》（金寿险函〔2026〕65号）正式执行，费用管控从“管佣金”升级为“管费用结构”。65号文落地半月，费用较此前平均水平下降约30%。</w:t>
      </w:r>
    </w:p>
    <w:p w14:paraId="2299C616">
      <w:pPr>
        <w:spacing w:after="120" w:line="360" w:lineRule="auto"/>
        <w:ind w:firstLine="480"/>
        <w:rPr>
          <w:rFonts w:hint="default" w:ascii="微软雅黑" w:hAnsi="微软雅黑" w:eastAsia="微软雅黑" w:cs="微软雅黑"/>
          <w:b/>
          <w:bCs/>
          <w:color w:val="2C2C2C"/>
          <w:sz w:val="24"/>
          <w:szCs w:val="24"/>
        </w:rPr>
      </w:pPr>
      <w:r>
        <w:rPr>
          <w:rFonts w:hint="default" w:ascii="微软雅黑" w:hAnsi="微软雅黑" w:eastAsia="微软雅黑" w:cs="微软雅黑"/>
          <w:b/>
          <w:bCs/>
          <w:color w:val="2C2C2C"/>
          <w:sz w:val="24"/>
          <w:szCs w:val="24"/>
        </w:rPr>
        <w:t>3</w:t>
      </w:r>
      <w:r>
        <w:rPr>
          <w:rFonts w:hint="eastAsia" w:cs="微软雅黑"/>
          <w:b/>
          <w:bCs/>
          <w:color w:val="2C2C2C"/>
          <w:sz w:val="24"/>
          <w:szCs w:val="24"/>
          <w:lang w:eastAsia="zh-CN"/>
        </w:rPr>
        <w:t>.</w:t>
      </w:r>
      <w:r>
        <w:rPr>
          <w:rFonts w:hint="default" w:ascii="微软雅黑" w:hAnsi="微软雅黑" w:eastAsia="微软雅黑" w:cs="微软雅黑"/>
          <w:b/>
          <w:bCs/>
          <w:color w:val="2C2C2C"/>
          <w:sz w:val="24"/>
          <w:szCs w:val="24"/>
        </w:rPr>
        <w:t xml:space="preserve"> 保险产品适当性管理自律规范同步实施</w:t>
      </w:r>
    </w:p>
    <w:p w14:paraId="0ED7321E">
      <w:pPr>
        <w:spacing w:after="120" w:line="360" w:lineRule="auto"/>
        <w:ind w:firstLine="480"/>
        <w:rPr>
          <w:rFonts w:hint="default" w:ascii="微软雅黑" w:hAnsi="微软雅黑" w:eastAsia="微软雅黑" w:cs="微软雅黑"/>
          <w:color w:val="2C2C2C"/>
          <w:sz w:val="24"/>
          <w:szCs w:val="24"/>
        </w:rPr>
      </w:pPr>
      <w:r>
        <w:rPr>
          <w:rFonts w:hint="default" w:ascii="微软雅黑" w:hAnsi="微软雅黑" w:eastAsia="微软雅黑" w:cs="微软雅黑"/>
          <w:color w:val="2C2C2C"/>
          <w:sz w:val="24"/>
          <w:szCs w:val="24"/>
        </w:rPr>
        <w:t>三项新规分别聚焦产品收益宣传、渠道费用管控、终端销售行为三大核心环节，形成全方位、全链条、闭环式强监管组合拳。</w:t>
      </w:r>
    </w:p>
    <w:p w14:paraId="7C7E8BF6">
      <w:pPr>
        <w:pStyle w:val="3"/>
        <w:keepNext/>
        <w:keepLines/>
        <w:spacing w:before="400" w:after="200"/>
        <w:rPr>
          <w:rFonts w:hint="eastAsia" w:ascii="黑体" w:hAnsi="黑体" w:eastAsia="黑体" w:cs="黑体"/>
          <w:b/>
          <w:bCs/>
          <w:color w:val="1B3A5C"/>
          <w:sz w:val="32"/>
          <w:szCs w:val="32"/>
        </w:rPr>
      </w:pPr>
    </w:p>
    <w:p w14:paraId="4EB6AD32">
      <w:pPr>
        <w:pStyle w:val="3"/>
        <w:keepNext/>
        <w:keepLines/>
        <w:spacing w:before="400" w:after="200"/>
        <w:rPr>
          <w:rFonts w:hint="eastAsia" w:ascii="黑体" w:hAnsi="黑体" w:eastAsia="黑体" w:cs="黑体"/>
          <w:b/>
          <w:bCs/>
          <w:color w:val="1B3A5C"/>
          <w:sz w:val="32"/>
          <w:szCs w:val="32"/>
        </w:rPr>
      </w:pPr>
    </w:p>
    <w:p w14:paraId="02DC5144">
      <w:pPr>
        <w:rPr>
          <w:rFonts w:hint="eastAsia" w:ascii="黑体" w:hAnsi="黑体" w:eastAsia="黑体" w:cs="黑体"/>
          <w:b/>
          <w:bCs/>
          <w:color w:val="1B3A5C"/>
          <w:sz w:val="32"/>
          <w:szCs w:val="32"/>
        </w:rPr>
      </w:pPr>
    </w:p>
    <w:p w14:paraId="04D541E3">
      <w:pPr>
        <w:rPr>
          <w:rFonts w:hint="eastAsia" w:ascii="黑体" w:hAnsi="黑体" w:eastAsia="黑体" w:cs="黑体"/>
          <w:b/>
          <w:bCs/>
          <w:color w:val="1B3A5C"/>
          <w:sz w:val="32"/>
          <w:szCs w:val="32"/>
        </w:rPr>
      </w:pPr>
    </w:p>
    <w:p w14:paraId="5B70F115">
      <w:pPr>
        <w:pStyle w:val="3"/>
        <w:keepNext/>
        <w:keepLines/>
        <w:spacing w:before="400" w:after="200"/>
        <w:rPr>
          <w:rFonts w:hint="eastAsia" w:ascii="黑体" w:hAnsi="黑体" w:eastAsia="黑体" w:cs="黑体"/>
          <w:b/>
          <w:bCs/>
          <w:color w:val="1B3A5C"/>
          <w:sz w:val="32"/>
          <w:szCs w:val="32"/>
        </w:rPr>
      </w:pPr>
      <w:r>
        <w:rPr>
          <w:rFonts w:hint="eastAsia" w:ascii="黑体" w:hAnsi="黑体" w:eastAsia="黑体" w:cs="黑体"/>
          <w:b/>
          <w:bCs/>
          <w:color w:val="1B3A5C"/>
          <w:sz w:val="32"/>
          <w:szCs w:val="32"/>
        </w:rPr>
        <w:t>（二）四部门联合发布科技保险高质量发展20条意见</w:t>
      </w:r>
    </w:p>
    <w:p w14:paraId="27F198FE">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7月10日，科技部、金融监管总局、工业和信息化部、国家知识产权局联合发布《关于加快推动科技保险高质量发展 有力支撑高水平科技自立自强的若干意见》，从6个方面提出20项政策举措。</w:t>
      </w:r>
    </w:p>
    <w:p w14:paraId="23B53C9D">
      <w:pPr>
        <w:spacing w:after="120" w:line="360" w:lineRule="auto"/>
        <w:ind w:firstLine="480"/>
        <w:rPr>
          <w:rFonts w:hint="eastAsia" w:ascii="微软雅黑" w:hAnsi="微软雅黑" w:eastAsia="微软雅黑" w:cs="微软雅黑"/>
          <w:b/>
          <w:bCs/>
          <w:color w:val="2C2C2C"/>
          <w:sz w:val="24"/>
          <w:szCs w:val="24"/>
        </w:rPr>
      </w:pPr>
    </w:p>
    <w:p w14:paraId="3B3B301E">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b/>
          <w:bCs/>
          <w:color w:val="2C2C2C"/>
          <w:sz w:val="24"/>
          <w:szCs w:val="24"/>
        </w:rPr>
        <w:t>核心要点：</w:t>
      </w:r>
    </w:p>
    <w:p w14:paraId="218EFD8A">
      <w:pPr>
        <w:spacing w:after="120" w:line="360" w:lineRule="auto"/>
        <w:ind w:firstLine="480"/>
        <w:rPr>
          <w:rFonts w:hint="eastAsia" w:ascii="微软雅黑" w:hAnsi="微软雅黑" w:eastAsia="微软雅黑" w:cs="微软雅黑"/>
          <w:color w:val="2C2C2C"/>
          <w:sz w:val="24"/>
          <w:szCs w:val="24"/>
        </w:rPr>
      </w:pPr>
      <w:r>
        <w:rPr>
          <w:rFonts w:hint="eastAsia" w:cs="微软雅黑"/>
          <w:b/>
          <w:bCs/>
          <w:color w:val="2C2C2C"/>
          <w:sz w:val="24"/>
          <w:szCs w:val="24"/>
          <w:lang w:val="en-US" w:eastAsia="zh-CN"/>
        </w:rPr>
        <w:t>1.</w:t>
      </w:r>
      <w:r>
        <w:rPr>
          <w:rFonts w:hint="eastAsia" w:ascii="微软雅黑" w:hAnsi="微软雅黑" w:eastAsia="微软雅黑" w:cs="微软雅黑"/>
          <w:b/>
          <w:bCs/>
          <w:color w:val="2C2C2C"/>
          <w:sz w:val="24"/>
          <w:szCs w:val="24"/>
        </w:rPr>
        <w:t>聚焦国家重大科技任务：</w:t>
      </w:r>
      <w:r>
        <w:rPr>
          <w:rFonts w:hint="eastAsia" w:ascii="微软雅黑" w:hAnsi="微软雅黑" w:eastAsia="微软雅黑" w:cs="微软雅黑"/>
          <w:color w:val="2C2C2C"/>
          <w:sz w:val="24"/>
          <w:szCs w:val="24"/>
        </w:rPr>
        <w:t>建立全国科技保险重大技术攻关协调推进机制；</w:t>
      </w:r>
    </w:p>
    <w:p w14:paraId="3E57E730">
      <w:pPr>
        <w:spacing w:after="120" w:line="360" w:lineRule="auto"/>
        <w:ind w:firstLine="480"/>
        <w:rPr>
          <w:rFonts w:hint="eastAsia" w:ascii="微软雅黑" w:hAnsi="微软雅黑" w:eastAsia="微软雅黑" w:cs="微软雅黑"/>
          <w:color w:val="2C2C2C"/>
          <w:sz w:val="24"/>
          <w:szCs w:val="24"/>
        </w:rPr>
      </w:pPr>
      <w:r>
        <w:rPr>
          <w:rFonts w:hint="eastAsia" w:cs="微软雅黑"/>
          <w:b/>
          <w:bCs/>
          <w:color w:val="2C2C2C"/>
          <w:sz w:val="24"/>
          <w:szCs w:val="24"/>
          <w:lang w:val="en-US" w:eastAsia="zh-CN"/>
        </w:rPr>
        <w:t>2.</w:t>
      </w:r>
      <w:r>
        <w:rPr>
          <w:rFonts w:hint="eastAsia" w:ascii="微软雅黑" w:hAnsi="微软雅黑" w:eastAsia="微软雅黑" w:cs="微软雅黑"/>
          <w:b/>
          <w:bCs/>
          <w:color w:val="2C2C2C"/>
          <w:sz w:val="24"/>
          <w:szCs w:val="24"/>
        </w:rPr>
        <w:t>聚焦科技型中小企业：</w:t>
      </w:r>
      <w:r>
        <w:rPr>
          <w:rFonts w:hint="eastAsia" w:ascii="微软雅黑" w:hAnsi="微软雅黑" w:eastAsia="微软雅黑" w:cs="微软雅黑"/>
          <w:color w:val="2C2C2C"/>
          <w:sz w:val="24"/>
          <w:szCs w:val="24"/>
        </w:rPr>
        <w:t>推广便捷便利的科技保险产品，为科技成果先使用后付费等场景提供灵活保险方案；</w:t>
      </w:r>
    </w:p>
    <w:p w14:paraId="744A7318">
      <w:pPr>
        <w:spacing w:after="120" w:line="360" w:lineRule="auto"/>
        <w:ind w:firstLine="480"/>
        <w:rPr>
          <w:rFonts w:hint="eastAsia" w:ascii="微软雅黑" w:hAnsi="微软雅黑" w:eastAsia="微软雅黑" w:cs="微软雅黑"/>
          <w:color w:val="2C2C2C"/>
          <w:sz w:val="24"/>
          <w:szCs w:val="24"/>
        </w:rPr>
      </w:pPr>
      <w:r>
        <w:rPr>
          <w:rFonts w:hint="eastAsia" w:cs="微软雅黑"/>
          <w:b/>
          <w:bCs/>
          <w:color w:val="2C2C2C"/>
          <w:sz w:val="24"/>
          <w:szCs w:val="24"/>
          <w:lang w:val="en-US" w:eastAsia="zh-CN"/>
        </w:rPr>
        <w:t>3.</w:t>
      </w:r>
      <w:r>
        <w:rPr>
          <w:rFonts w:hint="eastAsia" w:ascii="微软雅黑" w:hAnsi="微软雅黑" w:eastAsia="微软雅黑" w:cs="微软雅黑"/>
          <w:b/>
          <w:bCs/>
          <w:color w:val="2C2C2C"/>
          <w:sz w:val="24"/>
          <w:szCs w:val="24"/>
        </w:rPr>
        <w:t>聚焦前沿领域：</w:t>
      </w:r>
      <w:r>
        <w:rPr>
          <w:rFonts w:hint="eastAsia" w:ascii="微软雅黑" w:hAnsi="微软雅黑" w:eastAsia="微软雅黑" w:cs="微软雅黑"/>
          <w:color w:val="2C2C2C"/>
          <w:sz w:val="24"/>
          <w:szCs w:val="24"/>
        </w:rPr>
        <w:t>围绕人工智能、集成电路、量子科技、脑机接口等前沿布局，优化保险产品开发；</w:t>
      </w:r>
    </w:p>
    <w:p w14:paraId="02EA5E89">
      <w:pPr>
        <w:spacing w:after="120" w:line="360" w:lineRule="auto"/>
        <w:ind w:firstLine="480"/>
        <w:rPr>
          <w:rFonts w:hint="eastAsia" w:ascii="微软雅黑" w:hAnsi="微软雅黑" w:eastAsia="微软雅黑" w:cs="微软雅黑"/>
          <w:color w:val="2C2C2C"/>
          <w:sz w:val="24"/>
          <w:szCs w:val="24"/>
        </w:rPr>
      </w:pPr>
      <w:r>
        <w:rPr>
          <w:rFonts w:hint="eastAsia" w:cs="微软雅黑"/>
          <w:b/>
          <w:bCs/>
          <w:color w:val="2C2C2C"/>
          <w:sz w:val="24"/>
          <w:szCs w:val="24"/>
          <w:lang w:val="en-US" w:eastAsia="zh-CN"/>
        </w:rPr>
        <w:t>4.</w:t>
      </w:r>
      <w:r>
        <w:rPr>
          <w:rFonts w:hint="eastAsia" w:ascii="微软雅黑" w:hAnsi="微软雅黑" w:eastAsia="微软雅黑" w:cs="微软雅黑"/>
          <w:b/>
          <w:bCs/>
          <w:color w:val="2C2C2C"/>
          <w:sz w:val="24"/>
          <w:szCs w:val="24"/>
        </w:rPr>
        <w:t>聚焦保险资金投向：</w:t>
      </w:r>
      <w:r>
        <w:rPr>
          <w:rFonts w:hint="eastAsia" w:ascii="微软雅黑" w:hAnsi="微软雅黑" w:eastAsia="微软雅黑" w:cs="微软雅黑"/>
          <w:color w:val="2C2C2C"/>
          <w:sz w:val="24"/>
          <w:szCs w:val="24"/>
        </w:rPr>
        <w:t>发挥耐心资本优势，支持国家重大科技项目和创业投资。</w:t>
      </w:r>
    </w:p>
    <w:p w14:paraId="58C6079B">
      <w:pPr>
        <w:spacing w:after="120" w:line="360" w:lineRule="auto"/>
        <w:ind w:firstLine="480"/>
        <w:rPr>
          <w:rFonts w:hint="eastAsia" w:ascii="微软雅黑" w:hAnsi="微软雅黑" w:eastAsia="微软雅黑" w:cs="微软雅黑"/>
          <w:color w:val="2C2C2C"/>
          <w:sz w:val="24"/>
          <w:szCs w:val="24"/>
        </w:rPr>
      </w:pPr>
    </w:p>
    <w:p w14:paraId="5452CC98">
      <w:pPr>
        <w:numPr>
          <w:ilvl w:val="0"/>
          <w:numId w:val="0"/>
        </w:numPr>
        <w:spacing w:after="120" w:line="360" w:lineRule="auto"/>
        <w:ind w:firstLine="480" w:firstLineChars="0"/>
        <w:rPr>
          <w:rFonts w:hint="eastAsia" w:ascii="微软雅黑" w:hAnsi="微软雅黑" w:eastAsia="微软雅黑" w:cs="微软雅黑"/>
          <w:color w:val="2C2C2C"/>
          <w:sz w:val="24"/>
          <w:szCs w:val="24"/>
        </w:rPr>
      </w:pPr>
    </w:p>
    <w:p w14:paraId="2CA925E9">
      <w:pPr>
        <w:numPr>
          <w:ilvl w:val="0"/>
          <w:numId w:val="0"/>
        </w:numPr>
        <w:spacing w:after="120" w:line="360" w:lineRule="auto"/>
        <w:ind w:firstLine="480" w:firstLineChars="0"/>
        <w:rPr>
          <w:rFonts w:hint="eastAsia" w:ascii="微软雅黑" w:hAnsi="微软雅黑" w:eastAsia="微软雅黑" w:cs="微软雅黑"/>
          <w:color w:val="2C2C2C"/>
          <w:sz w:val="24"/>
          <w:szCs w:val="24"/>
        </w:rPr>
      </w:pPr>
    </w:p>
    <w:p w14:paraId="04CC982D">
      <w:pPr>
        <w:numPr>
          <w:ilvl w:val="0"/>
          <w:numId w:val="0"/>
        </w:numPr>
        <w:spacing w:after="120" w:line="360" w:lineRule="auto"/>
        <w:ind w:firstLine="480" w:firstLineChars="0"/>
        <w:rPr>
          <w:rFonts w:hint="eastAsia" w:ascii="微软雅黑" w:hAnsi="微软雅黑" w:eastAsia="微软雅黑" w:cs="微软雅黑"/>
          <w:color w:val="2C2C2C"/>
          <w:sz w:val="24"/>
          <w:szCs w:val="24"/>
        </w:rPr>
      </w:pPr>
    </w:p>
    <w:p w14:paraId="648AAE52">
      <w:pPr>
        <w:spacing w:after="120" w:line="360" w:lineRule="auto"/>
        <w:ind w:firstLine="480"/>
        <w:rPr>
          <w:rFonts w:hint="eastAsia" w:ascii="微软雅黑" w:hAnsi="微软雅黑" w:eastAsia="微软雅黑" w:cs="微软雅黑"/>
          <w:color w:val="2C2C2C"/>
          <w:sz w:val="21"/>
          <w:szCs w:val="21"/>
        </w:rPr>
      </w:pPr>
    </w:p>
    <w:p w14:paraId="019125F4">
      <w:pPr>
        <w:spacing w:after="120" w:line="360" w:lineRule="auto"/>
        <w:ind w:firstLine="480"/>
        <w:rPr>
          <w:rFonts w:hint="eastAsia" w:ascii="微软雅黑" w:hAnsi="微软雅黑" w:eastAsia="微软雅黑" w:cs="微软雅黑"/>
          <w:color w:val="2C2C2C"/>
          <w:sz w:val="21"/>
          <w:szCs w:val="21"/>
        </w:rPr>
      </w:pPr>
    </w:p>
    <w:p w14:paraId="0F9508B9">
      <w:pPr>
        <w:spacing w:after="120" w:line="360" w:lineRule="auto"/>
        <w:ind w:firstLine="480"/>
        <w:rPr>
          <w:rFonts w:hint="eastAsia" w:ascii="微软雅黑" w:hAnsi="微软雅黑" w:eastAsia="微软雅黑" w:cs="微软雅黑"/>
          <w:color w:val="2C2C2C"/>
          <w:sz w:val="21"/>
          <w:szCs w:val="21"/>
        </w:rPr>
      </w:pPr>
    </w:p>
    <w:p w14:paraId="6AEF96F9">
      <w:pPr>
        <w:spacing w:after="120" w:line="360" w:lineRule="auto"/>
        <w:ind w:firstLine="480"/>
        <w:rPr>
          <w:rFonts w:hint="eastAsia" w:ascii="微软雅黑" w:hAnsi="微软雅黑" w:eastAsia="微软雅黑" w:cs="微软雅黑"/>
          <w:color w:val="2C2C2C"/>
          <w:sz w:val="21"/>
          <w:szCs w:val="21"/>
        </w:rPr>
      </w:pPr>
    </w:p>
    <w:p w14:paraId="7C407CF1">
      <w:pPr>
        <w:pStyle w:val="3"/>
        <w:keepNext/>
        <w:keepLines/>
        <w:spacing w:before="400" w:after="200"/>
        <w:rPr>
          <w:rFonts w:hint="eastAsia" w:ascii="黑体" w:hAnsi="黑体" w:eastAsia="黑体" w:cs="黑体"/>
          <w:b/>
          <w:bCs/>
          <w:color w:val="1B3A5C"/>
          <w:sz w:val="32"/>
          <w:szCs w:val="32"/>
        </w:rPr>
      </w:pPr>
      <w:r>
        <w:rPr>
          <w:rFonts w:hint="eastAsia" w:ascii="黑体" w:hAnsi="黑体" w:eastAsia="黑体" w:cs="黑体"/>
          <w:b/>
          <w:bCs/>
          <w:color w:val="1B3A5C"/>
          <w:sz w:val="32"/>
          <w:szCs w:val="32"/>
        </w:rPr>
        <w:t>（三）加快上海国际再保险中心建设八条措施出台</w:t>
      </w:r>
    </w:p>
    <w:p w14:paraId="0CFFE2EC">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7月7日，金融监管总局联合上海市人民政府发布《关于加快上海国际再保险中心建设的若干措施》（共8条）。</w:t>
      </w:r>
    </w:p>
    <w:p w14:paraId="310A6904">
      <w:pPr>
        <w:spacing w:after="120" w:line="360" w:lineRule="auto"/>
        <w:ind w:firstLine="480"/>
        <w:rPr>
          <w:rFonts w:hint="eastAsia" w:ascii="微软雅黑" w:hAnsi="微软雅黑" w:eastAsia="微软雅黑" w:cs="微软雅黑"/>
          <w:color w:val="2C2C2C"/>
          <w:sz w:val="24"/>
          <w:szCs w:val="24"/>
        </w:rPr>
      </w:pPr>
    </w:p>
    <w:p w14:paraId="62359E46">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b/>
          <w:bCs/>
          <w:color w:val="2C2C2C"/>
          <w:sz w:val="24"/>
          <w:szCs w:val="24"/>
        </w:rPr>
        <w:t>核心要点：</w:t>
      </w:r>
    </w:p>
    <w:p w14:paraId="2FAD30B5">
      <w:pPr>
        <w:spacing w:after="120" w:line="360" w:lineRule="auto"/>
        <w:ind w:firstLine="480"/>
        <w:rPr>
          <w:rFonts w:hint="eastAsia" w:ascii="微软雅黑" w:hAnsi="微软雅黑" w:eastAsia="微软雅黑" w:cs="微软雅黑"/>
          <w:color w:val="2C2C2C"/>
          <w:sz w:val="24"/>
          <w:szCs w:val="24"/>
        </w:rPr>
      </w:pPr>
      <w:r>
        <w:rPr>
          <w:rFonts w:hint="eastAsia" w:cs="微软雅黑"/>
          <w:color w:val="2C2C2C"/>
          <w:sz w:val="24"/>
          <w:szCs w:val="24"/>
          <w:lang w:val="en-US" w:eastAsia="zh-CN"/>
        </w:rPr>
        <w:t>1.</w:t>
      </w:r>
      <w:r>
        <w:rPr>
          <w:rFonts w:hint="eastAsia" w:ascii="微软雅黑" w:hAnsi="微软雅黑" w:eastAsia="微软雅黑" w:cs="微软雅黑"/>
          <w:color w:val="2C2C2C"/>
          <w:sz w:val="24"/>
          <w:szCs w:val="24"/>
        </w:rPr>
        <w:t>支持再保险机构增资扩股和发行资本补充工具；</w:t>
      </w:r>
    </w:p>
    <w:p w14:paraId="5A500AF8">
      <w:pPr>
        <w:spacing w:after="120" w:line="360" w:lineRule="auto"/>
        <w:ind w:firstLine="480"/>
        <w:rPr>
          <w:rFonts w:hint="eastAsia" w:ascii="微软雅黑" w:hAnsi="微软雅黑" w:eastAsia="微软雅黑" w:cs="微软雅黑"/>
          <w:color w:val="2C2C2C"/>
          <w:sz w:val="24"/>
          <w:szCs w:val="24"/>
        </w:rPr>
      </w:pPr>
      <w:r>
        <w:rPr>
          <w:rFonts w:hint="eastAsia" w:cs="微软雅黑"/>
          <w:color w:val="2C2C2C"/>
          <w:sz w:val="24"/>
          <w:szCs w:val="24"/>
          <w:lang w:val="en-US" w:eastAsia="zh-CN"/>
        </w:rPr>
        <w:t>2.</w:t>
      </w:r>
      <w:r>
        <w:rPr>
          <w:rFonts w:hint="eastAsia" w:ascii="微软雅黑" w:hAnsi="微软雅黑" w:eastAsia="微软雅黑" w:cs="微软雅黑"/>
          <w:color w:val="2C2C2C"/>
          <w:sz w:val="24"/>
          <w:szCs w:val="24"/>
        </w:rPr>
        <w:t>引导保险行业围绕国家重大项目建设、战略性新兴产业等领域聚合承保能力；</w:t>
      </w:r>
    </w:p>
    <w:p w14:paraId="30A40D64">
      <w:pPr>
        <w:spacing w:after="120" w:line="360" w:lineRule="auto"/>
        <w:ind w:firstLine="480"/>
        <w:rPr>
          <w:rFonts w:hint="eastAsia" w:ascii="微软雅黑" w:hAnsi="微软雅黑" w:eastAsia="微软雅黑" w:cs="微软雅黑"/>
          <w:color w:val="2C2C2C"/>
          <w:sz w:val="24"/>
          <w:szCs w:val="24"/>
        </w:rPr>
      </w:pPr>
      <w:r>
        <w:rPr>
          <w:rFonts w:hint="eastAsia" w:cs="微软雅黑"/>
          <w:color w:val="2C2C2C"/>
          <w:sz w:val="24"/>
          <w:szCs w:val="24"/>
          <w:lang w:val="en-US" w:eastAsia="zh-CN"/>
        </w:rPr>
        <w:t>3.</w:t>
      </w:r>
      <w:r>
        <w:rPr>
          <w:rFonts w:hint="eastAsia" w:ascii="微软雅黑" w:hAnsi="微软雅黑" w:eastAsia="微软雅黑" w:cs="微软雅黑"/>
          <w:color w:val="2C2C2C"/>
          <w:sz w:val="24"/>
          <w:szCs w:val="24"/>
        </w:rPr>
        <w:t>探索拓宽巨灾风险等特殊风险的分散渠道；</w:t>
      </w:r>
    </w:p>
    <w:p w14:paraId="7105B90A">
      <w:pPr>
        <w:spacing w:after="120" w:line="360" w:lineRule="auto"/>
        <w:ind w:firstLine="480"/>
        <w:rPr>
          <w:rFonts w:hint="eastAsia" w:ascii="微软雅黑" w:hAnsi="微软雅黑" w:eastAsia="微软雅黑" w:cs="微软雅黑"/>
          <w:color w:val="2C2C2C"/>
          <w:sz w:val="21"/>
          <w:szCs w:val="21"/>
        </w:rPr>
      </w:pPr>
      <w:r>
        <w:rPr>
          <w:rFonts w:hint="eastAsia" w:cs="微软雅黑"/>
          <w:color w:val="2C2C2C"/>
          <w:sz w:val="24"/>
          <w:szCs w:val="24"/>
          <w:lang w:val="en-US" w:eastAsia="zh-CN"/>
        </w:rPr>
        <w:t>4.</w:t>
      </w:r>
      <w:r>
        <w:rPr>
          <w:rFonts w:hint="eastAsia" w:ascii="微软雅黑" w:hAnsi="微软雅黑" w:eastAsia="微软雅黑" w:cs="微软雅黑"/>
          <w:color w:val="2C2C2C"/>
          <w:sz w:val="24"/>
          <w:szCs w:val="24"/>
        </w:rPr>
        <w:t>拓展跨境合作，提升跨境分入业务管理能力。</w:t>
      </w:r>
    </w:p>
    <w:p w14:paraId="4E2CABD5">
      <w:pPr>
        <w:spacing w:after="120" w:line="360" w:lineRule="auto"/>
        <w:ind w:firstLine="480"/>
        <w:rPr>
          <w:rFonts w:hint="eastAsia" w:ascii="微软雅黑" w:hAnsi="微软雅黑" w:eastAsia="微软雅黑" w:cs="微软雅黑"/>
          <w:color w:val="2C2C2C"/>
          <w:sz w:val="21"/>
          <w:szCs w:val="21"/>
        </w:rPr>
      </w:pPr>
    </w:p>
    <w:p w14:paraId="64483109">
      <w:pPr>
        <w:spacing w:after="120" w:line="360" w:lineRule="auto"/>
        <w:ind w:firstLine="480"/>
        <w:rPr>
          <w:rFonts w:hint="eastAsia" w:ascii="微软雅黑" w:hAnsi="微软雅黑" w:eastAsia="微软雅黑" w:cs="微软雅黑"/>
          <w:color w:val="2C2C2C"/>
          <w:sz w:val="21"/>
          <w:szCs w:val="21"/>
        </w:rPr>
      </w:pPr>
    </w:p>
    <w:p w14:paraId="520952FD">
      <w:pPr>
        <w:spacing w:after="120" w:line="360" w:lineRule="auto"/>
        <w:ind w:firstLine="480"/>
        <w:rPr>
          <w:rFonts w:hint="eastAsia" w:ascii="微软雅黑" w:hAnsi="微软雅黑" w:eastAsia="微软雅黑" w:cs="微软雅黑"/>
          <w:color w:val="2C2C2C"/>
          <w:sz w:val="21"/>
          <w:szCs w:val="21"/>
        </w:rPr>
      </w:pPr>
    </w:p>
    <w:p w14:paraId="618DD8BA">
      <w:pPr>
        <w:spacing w:after="120" w:line="360" w:lineRule="auto"/>
        <w:ind w:firstLine="480"/>
        <w:rPr>
          <w:rFonts w:hint="eastAsia" w:ascii="微软雅黑" w:hAnsi="微软雅黑" w:eastAsia="微软雅黑" w:cs="微软雅黑"/>
          <w:color w:val="2C2C2C"/>
          <w:sz w:val="21"/>
          <w:szCs w:val="21"/>
        </w:rPr>
      </w:pPr>
    </w:p>
    <w:p w14:paraId="4074823D">
      <w:pPr>
        <w:spacing w:after="120" w:line="360" w:lineRule="auto"/>
        <w:ind w:firstLine="480"/>
        <w:rPr>
          <w:rFonts w:hint="eastAsia" w:ascii="微软雅黑" w:hAnsi="微软雅黑" w:eastAsia="微软雅黑" w:cs="微软雅黑"/>
          <w:color w:val="2C2C2C"/>
          <w:sz w:val="21"/>
          <w:szCs w:val="21"/>
        </w:rPr>
      </w:pPr>
    </w:p>
    <w:p w14:paraId="4820C633">
      <w:pPr>
        <w:spacing w:after="120" w:line="360" w:lineRule="auto"/>
        <w:ind w:firstLine="480"/>
        <w:rPr>
          <w:rFonts w:hint="eastAsia" w:ascii="微软雅黑" w:hAnsi="微软雅黑" w:eastAsia="微软雅黑" w:cs="微软雅黑"/>
          <w:color w:val="2C2C2C"/>
          <w:sz w:val="21"/>
          <w:szCs w:val="21"/>
        </w:rPr>
      </w:pPr>
    </w:p>
    <w:p w14:paraId="3D1EE513">
      <w:pPr>
        <w:spacing w:after="120" w:line="360" w:lineRule="auto"/>
        <w:ind w:firstLine="480"/>
        <w:rPr>
          <w:rFonts w:hint="eastAsia" w:ascii="微软雅黑" w:hAnsi="微软雅黑" w:eastAsia="微软雅黑" w:cs="微软雅黑"/>
          <w:color w:val="2C2C2C"/>
          <w:sz w:val="21"/>
          <w:szCs w:val="21"/>
        </w:rPr>
      </w:pPr>
    </w:p>
    <w:p w14:paraId="07E4E077">
      <w:pPr>
        <w:spacing w:after="120" w:line="360" w:lineRule="auto"/>
        <w:ind w:firstLine="480"/>
        <w:rPr>
          <w:rFonts w:hint="eastAsia" w:ascii="微软雅黑" w:hAnsi="微软雅黑" w:eastAsia="微软雅黑" w:cs="微软雅黑"/>
          <w:color w:val="2C2C2C"/>
          <w:sz w:val="21"/>
          <w:szCs w:val="21"/>
        </w:rPr>
      </w:pPr>
    </w:p>
    <w:p w14:paraId="3F48ECB4">
      <w:pPr>
        <w:spacing w:after="120" w:line="360" w:lineRule="auto"/>
        <w:ind w:firstLine="480"/>
        <w:rPr>
          <w:rFonts w:hint="eastAsia" w:ascii="微软雅黑" w:hAnsi="微软雅黑" w:eastAsia="微软雅黑" w:cs="微软雅黑"/>
          <w:color w:val="2C2C2C"/>
          <w:sz w:val="21"/>
          <w:szCs w:val="21"/>
        </w:rPr>
      </w:pPr>
    </w:p>
    <w:p w14:paraId="2F3AFC76">
      <w:pPr>
        <w:spacing w:after="120" w:line="360" w:lineRule="auto"/>
        <w:ind w:firstLine="480"/>
        <w:rPr>
          <w:rFonts w:hint="eastAsia" w:ascii="微软雅黑" w:hAnsi="微软雅黑" w:eastAsia="微软雅黑" w:cs="微软雅黑"/>
          <w:color w:val="2C2C2C"/>
          <w:sz w:val="21"/>
          <w:szCs w:val="21"/>
        </w:rPr>
      </w:pPr>
    </w:p>
    <w:p w14:paraId="732CC296">
      <w:pPr>
        <w:spacing w:after="120" w:line="360" w:lineRule="auto"/>
        <w:ind w:firstLine="480"/>
        <w:rPr>
          <w:rFonts w:hint="eastAsia" w:ascii="微软雅黑" w:hAnsi="微软雅黑" w:eastAsia="微软雅黑" w:cs="微软雅黑"/>
          <w:color w:val="2C2C2C"/>
          <w:sz w:val="21"/>
          <w:szCs w:val="21"/>
        </w:rPr>
      </w:pPr>
    </w:p>
    <w:p w14:paraId="7713A312">
      <w:pPr>
        <w:pStyle w:val="3"/>
        <w:keepNext/>
        <w:keepLines/>
        <w:spacing w:before="400" w:after="200"/>
        <w:rPr>
          <w:rFonts w:hint="eastAsia" w:ascii="黑体" w:hAnsi="黑体" w:eastAsia="黑体" w:cs="黑体"/>
          <w:b/>
          <w:bCs/>
          <w:color w:val="1B3A5C"/>
          <w:sz w:val="32"/>
          <w:szCs w:val="32"/>
        </w:rPr>
      </w:pPr>
      <w:r>
        <w:rPr>
          <w:rFonts w:hint="eastAsia" w:ascii="黑体" w:hAnsi="黑体" w:eastAsia="黑体" w:cs="黑体"/>
          <w:b/>
          <w:bCs/>
          <w:color w:val="1B3A5C"/>
          <w:sz w:val="32"/>
          <w:szCs w:val="32"/>
        </w:rPr>
        <w:t>（四）《银行业保险业网络安全管理办法（征求意见稿）》发布</w:t>
      </w:r>
    </w:p>
    <w:p w14:paraId="31C8AAE6">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7月10日，国家金融监督管理总局就《银行业保险业网络安全管理办法（征求意见稿）》公开征求意见，拟加强银行业金融机构、保险业金融机构和金融控股公司网络安全监督管理。</w:t>
      </w:r>
    </w:p>
    <w:p w14:paraId="769499C9">
      <w:pPr>
        <w:spacing w:after="120" w:line="360" w:lineRule="auto"/>
        <w:ind w:firstLine="480"/>
        <w:rPr>
          <w:rFonts w:hint="eastAsia" w:ascii="微软雅黑" w:hAnsi="微软雅黑" w:eastAsia="微软雅黑" w:cs="微软雅黑"/>
          <w:color w:val="2C2C2C"/>
          <w:sz w:val="24"/>
          <w:szCs w:val="24"/>
        </w:rPr>
      </w:pPr>
    </w:p>
    <w:p w14:paraId="1E5F95AB">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b/>
          <w:bCs/>
          <w:color w:val="2C2C2C"/>
          <w:sz w:val="24"/>
          <w:szCs w:val="24"/>
        </w:rPr>
        <w:t>四大起草思路：</w:t>
      </w:r>
    </w:p>
    <w:p w14:paraId="039D17EB">
      <w:pPr>
        <w:spacing w:after="120" w:line="360" w:lineRule="auto"/>
        <w:ind w:firstLine="480"/>
        <w:rPr>
          <w:rFonts w:hint="eastAsia" w:ascii="微软雅黑" w:hAnsi="微软雅黑" w:eastAsia="微软雅黑" w:cs="微软雅黑"/>
          <w:color w:val="2C2C2C"/>
          <w:sz w:val="24"/>
          <w:szCs w:val="24"/>
        </w:rPr>
      </w:pPr>
      <w:r>
        <w:rPr>
          <w:rFonts w:hint="eastAsia" w:cs="微软雅黑"/>
          <w:b/>
          <w:bCs/>
          <w:color w:val="2C2C2C"/>
          <w:sz w:val="24"/>
          <w:szCs w:val="24"/>
          <w:lang w:val="en-US" w:eastAsia="zh-CN"/>
        </w:rPr>
        <w:t>1.</w:t>
      </w:r>
      <w:r>
        <w:rPr>
          <w:rFonts w:hint="eastAsia" w:ascii="微软雅黑" w:hAnsi="微软雅黑" w:eastAsia="微软雅黑" w:cs="微软雅黑"/>
          <w:b/>
          <w:bCs/>
          <w:color w:val="2C2C2C"/>
          <w:sz w:val="24"/>
          <w:szCs w:val="24"/>
        </w:rPr>
        <w:t>落实上位法要求：</w:t>
      </w:r>
      <w:r>
        <w:rPr>
          <w:rFonts w:hint="eastAsia" w:ascii="微软雅黑" w:hAnsi="微软雅黑" w:eastAsia="微软雅黑" w:cs="微软雅黑"/>
          <w:color w:val="2C2C2C"/>
          <w:sz w:val="24"/>
          <w:szCs w:val="24"/>
        </w:rPr>
        <w:t>确保《网络安全法》《数据安全法》《个人信息保护法》等在银行业保险业有效落地；</w:t>
      </w:r>
    </w:p>
    <w:p w14:paraId="0FD4FBA1">
      <w:pPr>
        <w:spacing w:after="120" w:line="360" w:lineRule="auto"/>
        <w:ind w:firstLine="480"/>
        <w:rPr>
          <w:rFonts w:hint="eastAsia" w:ascii="微软雅黑" w:hAnsi="微软雅黑" w:eastAsia="微软雅黑" w:cs="微软雅黑"/>
          <w:color w:val="2C2C2C"/>
          <w:sz w:val="24"/>
          <w:szCs w:val="24"/>
        </w:rPr>
      </w:pPr>
      <w:r>
        <w:rPr>
          <w:rFonts w:hint="eastAsia" w:cs="微软雅黑"/>
          <w:b/>
          <w:bCs/>
          <w:color w:val="2C2C2C"/>
          <w:sz w:val="24"/>
          <w:szCs w:val="24"/>
          <w:lang w:val="en-US" w:eastAsia="zh-CN"/>
        </w:rPr>
        <w:t>2.</w:t>
      </w:r>
      <w:r>
        <w:rPr>
          <w:rFonts w:hint="eastAsia" w:ascii="微软雅黑" w:hAnsi="微软雅黑" w:eastAsia="微软雅黑" w:cs="微软雅黑"/>
          <w:b/>
          <w:bCs/>
          <w:color w:val="2C2C2C"/>
          <w:sz w:val="24"/>
          <w:szCs w:val="24"/>
        </w:rPr>
        <w:t>汲取实践经验：</w:t>
      </w:r>
      <w:r>
        <w:rPr>
          <w:rFonts w:hint="eastAsia" w:ascii="微软雅黑" w:hAnsi="微软雅黑" w:eastAsia="微软雅黑" w:cs="微软雅黑"/>
          <w:color w:val="2C2C2C"/>
          <w:sz w:val="24"/>
          <w:szCs w:val="24"/>
        </w:rPr>
        <w:t>将科技监管工作成效转化为制度成果；</w:t>
      </w:r>
    </w:p>
    <w:p w14:paraId="6B87C821">
      <w:pPr>
        <w:spacing w:after="120" w:line="360" w:lineRule="auto"/>
        <w:ind w:firstLine="480"/>
        <w:rPr>
          <w:rFonts w:hint="eastAsia" w:ascii="微软雅黑" w:hAnsi="微软雅黑" w:eastAsia="微软雅黑" w:cs="微软雅黑"/>
          <w:color w:val="2C2C2C"/>
          <w:sz w:val="24"/>
          <w:szCs w:val="24"/>
        </w:rPr>
      </w:pPr>
      <w:r>
        <w:rPr>
          <w:rFonts w:hint="eastAsia" w:cs="微软雅黑"/>
          <w:b/>
          <w:bCs/>
          <w:color w:val="2C2C2C"/>
          <w:sz w:val="24"/>
          <w:szCs w:val="24"/>
          <w:lang w:val="en-US" w:eastAsia="zh-CN"/>
        </w:rPr>
        <w:t>3.</w:t>
      </w:r>
      <w:r>
        <w:rPr>
          <w:rFonts w:hint="eastAsia" w:ascii="微软雅黑" w:hAnsi="微软雅黑" w:eastAsia="微软雅黑" w:cs="微软雅黑"/>
          <w:b/>
          <w:bCs/>
          <w:color w:val="2C2C2C"/>
          <w:sz w:val="24"/>
          <w:szCs w:val="24"/>
        </w:rPr>
        <w:t>体现大网络安全概念：</w:t>
      </w:r>
      <w:r>
        <w:rPr>
          <w:rFonts w:hint="eastAsia" w:ascii="微软雅黑" w:hAnsi="微软雅黑" w:eastAsia="微软雅黑" w:cs="微软雅黑"/>
          <w:color w:val="2C2C2C"/>
          <w:sz w:val="24"/>
          <w:szCs w:val="24"/>
        </w:rPr>
        <w:t>强调全集团统一管理、科技与业务协同、三道防线协同共治；</w:t>
      </w:r>
    </w:p>
    <w:p w14:paraId="42D52184">
      <w:pPr>
        <w:spacing w:after="120" w:line="360" w:lineRule="auto"/>
        <w:ind w:firstLine="480"/>
        <w:rPr>
          <w:rFonts w:hint="eastAsia" w:ascii="微软雅黑" w:hAnsi="微软雅黑" w:eastAsia="微软雅黑" w:cs="微软雅黑"/>
          <w:color w:val="2C2C2C"/>
          <w:sz w:val="24"/>
          <w:szCs w:val="24"/>
        </w:rPr>
      </w:pPr>
      <w:r>
        <w:rPr>
          <w:rFonts w:hint="eastAsia" w:cs="微软雅黑"/>
          <w:b/>
          <w:bCs/>
          <w:color w:val="2C2C2C"/>
          <w:sz w:val="24"/>
          <w:szCs w:val="24"/>
          <w:lang w:val="en-US" w:eastAsia="zh-CN"/>
        </w:rPr>
        <w:t>4.</w:t>
      </w:r>
      <w:r>
        <w:rPr>
          <w:rFonts w:hint="eastAsia" w:ascii="微软雅黑" w:hAnsi="微软雅黑" w:eastAsia="微软雅黑" w:cs="微软雅黑"/>
          <w:b/>
          <w:bCs/>
          <w:color w:val="2C2C2C"/>
          <w:sz w:val="24"/>
          <w:szCs w:val="24"/>
        </w:rPr>
        <w:t>分级分类管理：</w:t>
      </w:r>
      <w:r>
        <w:rPr>
          <w:rFonts w:hint="eastAsia" w:ascii="微软雅黑" w:hAnsi="微软雅黑" w:eastAsia="微软雅黑" w:cs="微软雅黑"/>
          <w:color w:val="2C2C2C"/>
          <w:sz w:val="24"/>
          <w:szCs w:val="24"/>
        </w:rPr>
        <w:t>针对关键信息基础设施提出更高要求。</w:t>
      </w:r>
    </w:p>
    <w:p w14:paraId="226EC385">
      <w:pPr>
        <w:spacing w:after="120" w:line="360" w:lineRule="auto"/>
        <w:ind w:firstLine="480"/>
        <w:rPr>
          <w:rFonts w:hint="eastAsia" w:ascii="微软雅黑" w:hAnsi="微软雅黑" w:eastAsia="微软雅黑" w:cs="微软雅黑"/>
          <w:color w:val="2C2C2C"/>
          <w:sz w:val="24"/>
          <w:szCs w:val="24"/>
        </w:rPr>
      </w:pPr>
    </w:p>
    <w:p w14:paraId="128839BF">
      <w:pPr>
        <w:spacing w:after="120" w:line="360" w:lineRule="auto"/>
        <w:ind w:firstLine="480"/>
        <w:rPr>
          <w:rFonts w:hint="eastAsia" w:ascii="微软雅黑" w:hAnsi="微软雅黑" w:eastAsia="微软雅黑" w:cs="微软雅黑"/>
          <w:color w:val="2C2C2C"/>
          <w:sz w:val="21"/>
          <w:szCs w:val="21"/>
        </w:rPr>
      </w:pPr>
    </w:p>
    <w:p w14:paraId="33E78A86">
      <w:pPr>
        <w:spacing w:after="120" w:line="360" w:lineRule="auto"/>
        <w:ind w:firstLine="480"/>
        <w:rPr>
          <w:rFonts w:hint="eastAsia" w:ascii="微软雅黑" w:hAnsi="微软雅黑" w:eastAsia="微软雅黑" w:cs="微软雅黑"/>
          <w:color w:val="2C2C2C"/>
          <w:sz w:val="21"/>
          <w:szCs w:val="21"/>
        </w:rPr>
      </w:pPr>
    </w:p>
    <w:p w14:paraId="4D31B393">
      <w:pPr>
        <w:spacing w:after="120" w:line="360" w:lineRule="auto"/>
        <w:ind w:firstLine="480"/>
        <w:rPr>
          <w:rFonts w:hint="eastAsia" w:ascii="微软雅黑" w:hAnsi="微软雅黑" w:eastAsia="微软雅黑" w:cs="微软雅黑"/>
          <w:color w:val="2C2C2C"/>
          <w:sz w:val="21"/>
          <w:szCs w:val="21"/>
        </w:rPr>
      </w:pPr>
    </w:p>
    <w:p w14:paraId="6BA5D278">
      <w:pPr>
        <w:spacing w:after="120" w:line="360" w:lineRule="auto"/>
        <w:ind w:firstLine="480"/>
        <w:rPr>
          <w:rFonts w:hint="eastAsia" w:ascii="微软雅黑" w:hAnsi="微软雅黑" w:eastAsia="微软雅黑" w:cs="微软雅黑"/>
          <w:color w:val="2C2C2C"/>
          <w:sz w:val="21"/>
          <w:szCs w:val="21"/>
        </w:rPr>
      </w:pPr>
    </w:p>
    <w:p w14:paraId="27D25DBE">
      <w:pPr>
        <w:spacing w:after="120" w:line="360" w:lineRule="auto"/>
        <w:ind w:firstLine="480"/>
        <w:rPr>
          <w:rFonts w:hint="eastAsia" w:ascii="微软雅黑" w:hAnsi="微软雅黑" w:eastAsia="微软雅黑" w:cs="微软雅黑"/>
          <w:color w:val="2C2C2C"/>
          <w:sz w:val="21"/>
          <w:szCs w:val="21"/>
        </w:rPr>
      </w:pPr>
    </w:p>
    <w:p w14:paraId="0AA00C93">
      <w:pPr>
        <w:spacing w:after="120" w:line="360" w:lineRule="auto"/>
        <w:ind w:firstLine="480"/>
        <w:rPr>
          <w:rFonts w:hint="eastAsia" w:ascii="微软雅黑" w:hAnsi="微软雅黑" w:eastAsia="微软雅黑" w:cs="微软雅黑"/>
          <w:color w:val="2C2C2C"/>
          <w:sz w:val="21"/>
          <w:szCs w:val="21"/>
        </w:rPr>
      </w:pPr>
    </w:p>
    <w:p w14:paraId="7DD8F3F3">
      <w:pPr>
        <w:pStyle w:val="3"/>
        <w:keepNext/>
        <w:keepLines/>
        <w:spacing w:before="400" w:after="200"/>
        <w:rPr>
          <w:rFonts w:hint="eastAsia" w:ascii="黑体" w:hAnsi="黑体" w:eastAsia="黑体" w:cs="黑体"/>
          <w:b/>
          <w:bCs/>
          <w:color w:val="1B3A5C"/>
          <w:sz w:val="32"/>
          <w:szCs w:val="32"/>
        </w:rPr>
      </w:pPr>
      <w:r>
        <w:rPr>
          <w:rFonts w:hint="eastAsia" w:ascii="黑体" w:hAnsi="黑体" w:eastAsia="黑体" w:cs="黑体"/>
          <w:b/>
          <w:bCs/>
          <w:color w:val="1B3A5C"/>
          <w:sz w:val="32"/>
          <w:szCs w:val="32"/>
        </w:rPr>
        <w:t>（五）《关于严重失信主体名单管理的规定（试行）》发布</w:t>
      </w:r>
    </w:p>
    <w:p w14:paraId="40B3E6A1">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color w:val="2C2C2C"/>
          <w:sz w:val="24"/>
          <w:szCs w:val="24"/>
        </w:rPr>
        <w:t>7月10日，金融监管总局发布《关于严重失信主体名单管理的规定（试行）》（总局令〔2026〕3号），</w:t>
      </w:r>
      <w:r>
        <w:rPr>
          <w:rFonts w:hint="eastAsia" w:ascii="微软雅黑" w:hAnsi="微软雅黑" w:eastAsia="微软雅黑" w:cs="微软雅黑"/>
          <w:b/>
          <w:bCs/>
          <w:color w:val="2C2C2C"/>
          <w:sz w:val="24"/>
          <w:szCs w:val="24"/>
        </w:rPr>
        <w:t>自2026年10月1日起施行。</w:t>
      </w:r>
    </w:p>
    <w:p w14:paraId="6FF947F7">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b/>
          <w:bCs/>
          <w:color w:val="2C2C2C"/>
          <w:sz w:val="24"/>
          <w:szCs w:val="24"/>
        </w:rPr>
        <w:t>列入严重失信主体名单的三类情形：</w:t>
      </w:r>
    </w:p>
    <w:p w14:paraId="385A283C">
      <w:pPr>
        <w:spacing w:after="120" w:line="360" w:lineRule="auto"/>
        <w:ind w:firstLine="480"/>
        <w:rPr>
          <w:rFonts w:hint="eastAsia" w:ascii="微软雅黑" w:hAnsi="微软雅黑" w:eastAsia="微软雅黑" w:cs="微软雅黑"/>
          <w:color w:val="2C2C2C"/>
          <w:sz w:val="24"/>
          <w:szCs w:val="24"/>
        </w:rPr>
      </w:pPr>
      <w:r>
        <w:rPr>
          <w:rFonts w:hint="eastAsia" w:cs="微软雅黑"/>
          <w:color w:val="2C2C2C"/>
          <w:sz w:val="24"/>
          <w:szCs w:val="24"/>
          <w:lang w:val="en-US" w:eastAsia="zh-CN"/>
        </w:rPr>
        <w:t>1.</w:t>
      </w:r>
      <w:r>
        <w:rPr>
          <w:rFonts w:hint="eastAsia" w:ascii="微软雅黑" w:hAnsi="微软雅黑" w:eastAsia="微软雅黑" w:cs="微软雅黑"/>
          <w:color w:val="2C2C2C"/>
          <w:sz w:val="24"/>
          <w:szCs w:val="24"/>
        </w:rPr>
        <w:t>受到“法人机构被吊销经营或业务许可证”行政处罚的；</w:t>
      </w:r>
    </w:p>
    <w:p w14:paraId="027F34A7">
      <w:pPr>
        <w:spacing w:after="120" w:line="360" w:lineRule="auto"/>
        <w:ind w:firstLine="480"/>
        <w:rPr>
          <w:rFonts w:hint="eastAsia" w:ascii="微软雅黑" w:hAnsi="微软雅黑" w:eastAsia="微软雅黑" w:cs="微软雅黑"/>
          <w:color w:val="2C2C2C"/>
          <w:sz w:val="24"/>
          <w:szCs w:val="24"/>
        </w:rPr>
      </w:pPr>
      <w:r>
        <w:rPr>
          <w:rFonts w:hint="eastAsia" w:cs="微软雅黑"/>
          <w:color w:val="2C2C2C"/>
          <w:sz w:val="24"/>
          <w:szCs w:val="24"/>
          <w:lang w:val="en-US" w:eastAsia="zh-CN"/>
        </w:rPr>
        <w:t>2.</w:t>
      </w:r>
      <w:r>
        <w:rPr>
          <w:rFonts w:hint="eastAsia" w:ascii="微软雅黑" w:hAnsi="微软雅黑" w:eastAsia="微软雅黑" w:cs="微软雅黑"/>
          <w:color w:val="2C2C2C"/>
          <w:sz w:val="24"/>
          <w:szCs w:val="24"/>
        </w:rPr>
        <w:t>受到“取消或撤销终身任职资格”行政处罚的；</w:t>
      </w:r>
    </w:p>
    <w:p w14:paraId="00F75DFF">
      <w:pPr>
        <w:spacing w:after="120" w:line="360" w:lineRule="auto"/>
        <w:ind w:firstLine="480"/>
        <w:rPr>
          <w:rFonts w:hint="eastAsia" w:ascii="微软雅黑" w:hAnsi="微软雅黑" w:eastAsia="微软雅黑" w:cs="微软雅黑"/>
          <w:color w:val="2C2C2C"/>
          <w:sz w:val="24"/>
          <w:szCs w:val="24"/>
        </w:rPr>
      </w:pPr>
      <w:r>
        <w:rPr>
          <w:rFonts w:hint="eastAsia" w:cs="微软雅黑"/>
          <w:color w:val="2C2C2C"/>
          <w:sz w:val="24"/>
          <w:szCs w:val="24"/>
          <w:lang w:val="en-US" w:eastAsia="zh-CN"/>
        </w:rPr>
        <w:t>3.</w:t>
      </w:r>
      <w:r>
        <w:rPr>
          <w:rFonts w:hint="eastAsia" w:ascii="微软雅黑" w:hAnsi="微软雅黑" w:eastAsia="微软雅黑" w:cs="微软雅黑"/>
          <w:color w:val="2C2C2C"/>
          <w:sz w:val="24"/>
          <w:szCs w:val="24"/>
        </w:rPr>
        <w:t>受到“终身禁止从事银行业工作或者终身禁止进入保险业”行政处罚的。</w:t>
      </w:r>
    </w:p>
    <w:p w14:paraId="4CA836B4">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b/>
          <w:bCs/>
          <w:color w:val="2C2C2C"/>
          <w:sz w:val="24"/>
          <w:szCs w:val="24"/>
        </w:rPr>
        <w:t>具体违规行为六种，</w:t>
      </w:r>
      <w:r>
        <w:rPr>
          <w:rFonts w:hint="eastAsia" w:ascii="微软雅黑" w:hAnsi="微软雅黑" w:eastAsia="微软雅黑" w:cs="微软雅黑"/>
          <w:color w:val="2C2C2C"/>
          <w:sz w:val="24"/>
          <w:szCs w:val="24"/>
        </w:rPr>
        <w:t>包括：被法院判决犯非法集资、金融诈骗等严重金融犯罪；多次实施金融违法行为且性质恶劣；虚构事实隐瞒真相骗取行政许可；被人民法院列为失信被执行人且拒不履行；其他严重破坏金融市场秩序等。</w:t>
      </w:r>
    </w:p>
    <w:p w14:paraId="2B12FCDF">
      <w:pPr>
        <w:spacing w:after="120" w:line="360" w:lineRule="auto"/>
        <w:ind w:firstLine="480"/>
        <w:rPr>
          <w:rFonts w:hint="eastAsia" w:ascii="微软雅黑" w:hAnsi="微软雅黑" w:eastAsia="微软雅黑" w:cs="微软雅黑"/>
          <w:color w:val="2C2C2C"/>
          <w:sz w:val="24"/>
          <w:szCs w:val="24"/>
        </w:rPr>
      </w:pPr>
    </w:p>
    <w:p w14:paraId="6F84BD0E">
      <w:pPr>
        <w:spacing w:after="120" w:line="360" w:lineRule="auto"/>
        <w:ind w:firstLine="480"/>
        <w:rPr>
          <w:rFonts w:hint="eastAsia" w:ascii="微软雅黑" w:hAnsi="微软雅黑" w:eastAsia="微软雅黑" w:cs="微软雅黑"/>
          <w:color w:val="2C2C2C"/>
          <w:sz w:val="21"/>
          <w:szCs w:val="21"/>
        </w:rPr>
      </w:pPr>
    </w:p>
    <w:p w14:paraId="2D19790C">
      <w:pPr>
        <w:spacing w:after="120" w:line="360" w:lineRule="auto"/>
        <w:ind w:firstLine="480"/>
        <w:rPr>
          <w:rFonts w:hint="eastAsia" w:ascii="微软雅黑" w:hAnsi="微软雅黑" w:eastAsia="微软雅黑" w:cs="微软雅黑"/>
          <w:color w:val="2C2C2C"/>
          <w:sz w:val="21"/>
          <w:szCs w:val="21"/>
        </w:rPr>
      </w:pPr>
    </w:p>
    <w:p w14:paraId="1019C1E7">
      <w:pPr>
        <w:spacing w:after="120" w:line="360" w:lineRule="auto"/>
        <w:ind w:firstLine="480"/>
        <w:rPr>
          <w:rFonts w:hint="eastAsia" w:ascii="微软雅黑" w:hAnsi="微软雅黑" w:eastAsia="微软雅黑" w:cs="微软雅黑"/>
          <w:color w:val="2C2C2C"/>
          <w:sz w:val="21"/>
          <w:szCs w:val="21"/>
        </w:rPr>
      </w:pPr>
    </w:p>
    <w:p w14:paraId="7A0874AF">
      <w:pPr>
        <w:spacing w:after="120" w:line="360" w:lineRule="auto"/>
        <w:ind w:firstLine="480"/>
        <w:rPr>
          <w:rFonts w:hint="eastAsia" w:ascii="微软雅黑" w:hAnsi="微软雅黑" w:eastAsia="微软雅黑" w:cs="微软雅黑"/>
          <w:color w:val="2C2C2C"/>
          <w:sz w:val="21"/>
          <w:szCs w:val="21"/>
        </w:rPr>
      </w:pPr>
    </w:p>
    <w:p w14:paraId="7AAA876E">
      <w:pPr>
        <w:spacing w:after="120" w:line="360" w:lineRule="auto"/>
        <w:ind w:firstLine="480"/>
        <w:rPr>
          <w:rFonts w:hint="eastAsia" w:ascii="微软雅黑" w:hAnsi="微软雅黑" w:eastAsia="微软雅黑" w:cs="微软雅黑"/>
          <w:color w:val="2C2C2C"/>
          <w:sz w:val="21"/>
          <w:szCs w:val="21"/>
        </w:rPr>
      </w:pPr>
    </w:p>
    <w:p w14:paraId="34A21AD7">
      <w:pPr>
        <w:pStyle w:val="3"/>
        <w:keepNext/>
        <w:keepLines/>
        <w:spacing w:before="400" w:after="200"/>
        <w:rPr>
          <w:rFonts w:hint="eastAsia" w:ascii="黑体" w:hAnsi="黑体" w:eastAsia="黑体" w:cs="黑体"/>
          <w:b/>
          <w:bCs/>
          <w:color w:val="1B3A5C"/>
          <w:sz w:val="32"/>
          <w:szCs w:val="32"/>
          <w:lang w:eastAsia="zh-CN"/>
        </w:rPr>
      </w:pPr>
    </w:p>
    <w:p w14:paraId="2DB5CEF3">
      <w:pPr>
        <w:rPr>
          <w:rFonts w:hint="eastAsia"/>
          <w:lang w:eastAsia="zh-CN"/>
        </w:rPr>
      </w:pPr>
    </w:p>
    <w:bookmarkEnd w:id="2"/>
    <w:p w14:paraId="34A60377">
      <w:pPr>
        <w:pStyle w:val="2"/>
        <w:keepNext/>
        <w:keepLines/>
        <w:spacing w:before="400" w:after="200"/>
      </w:pPr>
      <w:bookmarkStart w:id="3" w:name="_hotfocus"/>
      <w:r>
        <w:rPr>
          <w:rFonts w:hint="eastAsia" w:cs="黑体"/>
          <w:b/>
          <w:bCs/>
          <w:color w:val="1B3A5C"/>
          <w:sz w:val="40"/>
          <w:szCs w:val="40"/>
          <w:lang w:val="en-US" w:eastAsia="zh-CN"/>
        </w:rPr>
        <w:t>三、</w:t>
      </w:r>
      <w:r>
        <w:rPr>
          <w:rFonts w:ascii="黑体" w:hAnsi="黑体" w:eastAsia="黑体" w:cs="黑体"/>
          <w:b/>
          <w:bCs/>
          <w:color w:val="1B3A5C"/>
          <w:sz w:val="40"/>
          <w:szCs w:val="40"/>
        </w:rPr>
        <w:t>热点聚焦</w:t>
      </w:r>
      <w:bookmarkEnd w:id="3"/>
    </w:p>
    <w:p w14:paraId="7199EF94">
      <w:pPr>
        <w:pStyle w:val="3"/>
        <w:keepNext/>
        <w:keepLines/>
        <w:spacing w:before="400" w:after="200"/>
      </w:pPr>
      <w:bookmarkStart w:id="4" w:name="_toc_auto_9"/>
      <w:r>
        <w:rPr>
          <w:rFonts w:ascii="黑体" w:hAnsi="黑体" w:eastAsia="黑体" w:cs="黑体"/>
          <w:b/>
          <w:bCs/>
          <w:color w:val="1B3A5C"/>
          <w:sz w:val="32"/>
          <w:szCs w:val="32"/>
        </w:rPr>
        <w:t>两高发布内幕交易新规——依法从严惩处证券犯罪</w:t>
      </w:r>
      <w:bookmarkEnd w:id="4"/>
    </w:p>
    <w:p w14:paraId="634B6D59">
      <w:pPr>
        <w:spacing w:after="120" w:line="360" w:lineRule="auto"/>
        <w:ind w:firstLine="480"/>
        <w:rPr>
          <w:sz w:val="24"/>
          <w:szCs w:val="24"/>
        </w:rPr>
      </w:pPr>
      <w:r>
        <w:rPr>
          <w:rFonts w:ascii="微软雅黑" w:hAnsi="微软雅黑" w:eastAsia="微软雅黑" w:cs="微软雅黑"/>
          <w:color w:val="2C2C2C"/>
          <w:sz w:val="24"/>
          <w:szCs w:val="24"/>
        </w:rPr>
        <w:t>2026年7月24日，最高人民法院、最高人民检察院联合发布《关于修改〈最高人民法院、最高人民检察院关于办理内幕交易、泄露内幕信息刑事案件具体应用法律若干问题的解释〉的决定》（法释〔2026〕13号），自2026年7月27日起施行。这是自2012年该解释施行以来的首次重大修订。</w:t>
      </w:r>
    </w:p>
    <w:p w14:paraId="41B70D74">
      <w:pPr>
        <w:pStyle w:val="4"/>
        <w:keepNext/>
        <w:keepLines/>
        <w:spacing w:before="400" w:after="200"/>
        <w:ind w:firstLine="482" w:firstLineChars="200"/>
        <w:rPr>
          <w:sz w:val="24"/>
          <w:szCs w:val="24"/>
        </w:rPr>
      </w:pPr>
      <w:r>
        <w:rPr>
          <w:rFonts w:ascii="黑体" w:hAnsi="黑体" w:eastAsia="黑体" w:cs="黑体"/>
          <w:b/>
          <w:bCs/>
          <w:color w:val="1B3A5C"/>
          <w:sz w:val="24"/>
          <w:szCs w:val="24"/>
        </w:rPr>
        <w:t>一、修订背景与意义</w:t>
      </w:r>
    </w:p>
    <w:p w14:paraId="09B0E95C">
      <w:pPr>
        <w:spacing w:after="120" w:line="360" w:lineRule="auto"/>
        <w:ind w:firstLine="480"/>
        <w:rPr>
          <w:sz w:val="24"/>
          <w:szCs w:val="24"/>
        </w:rPr>
      </w:pPr>
      <w:r>
        <w:rPr>
          <w:rFonts w:ascii="微软雅黑" w:hAnsi="微软雅黑" w:eastAsia="微软雅黑" w:cs="微软雅黑"/>
          <w:color w:val="2C2C2C"/>
          <w:sz w:val="24"/>
          <w:szCs w:val="24"/>
        </w:rPr>
        <w:t>近年来，内幕交易、泄露内幕信息犯罪出现了新情况、新变化。随着证券法、期货交易管理条例等法律法规的修改完善，原有的司法解释在部分条款上已不能完全适应实践需要。此次修改旨在确保法律准确、统一、有效实施，更加精准、有力惩治相关犯罪，助力资本市场法治建设，营造公开公平公正的市场环境，切实维护投资者合法权益。</w:t>
      </w:r>
    </w:p>
    <w:p w14:paraId="07B18FD2">
      <w:pPr>
        <w:pStyle w:val="4"/>
        <w:keepNext/>
        <w:keepLines/>
        <w:spacing w:before="400" w:after="200"/>
        <w:ind w:firstLine="482" w:firstLineChars="200"/>
      </w:pPr>
      <w:r>
        <w:rPr>
          <w:rFonts w:ascii="黑体" w:hAnsi="黑体" w:eastAsia="黑体" w:cs="黑体"/>
          <w:b/>
          <w:bCs/>
          <w:color w:val="1B3A5C"/>
          <w:sz w:val="24"/>
          <w:szCs w:val="24"/>
        </w:rPr>
        <w:t>二、修改要点解读</w:t>
      </w:r>
    </w:p>
    <w:p w14:paraId="13764779">
      <w:pPr>
        <w:spacing w:after="120" w:line="360" w:lineRule="auto"/>
        <w:ind w:firstLine="480"/>
        <w:rPr>
          <w:sz w:val="24"/>
          <w:szCs w:val="24"/>
        </w:rPr>
      </w:pPr>
      <w:r>
        <w:rPr>
          <w:rFonts w:ascii="微软雅黑" w:hAnsi="微软雅黑" w:eastAsia="微软雅黑" w:cs="微软雅黑"/>
          <w:b/>
          <w:bCs/>
          <w:color w:val="2C2C2C"/>
          <w:sz w:val="24"/>
          <w:szCs w:val="24"/>
        </w:rPr>
        <w:t>1</w:t>
      </w:r>
      <w:r>
        <w:rPr>
          <w:rFonts w:hint="eastAsia" w:cs="微软雅黑"/>
          <w:b/>
          <w:bCs/>
          <w:color w:val="2C2C2C"/>
          <w:sz w:val="24"/>
          <w:szCs w:val="24"/>
          <w:lang w:eastAsia="zh-CN"/>
        </w:rPr>
        <w:t>.</w:t>
      </w:r>
      <w:r>
        <w:rPr>
          <w:rFonts w:ascii="微软雅黑" w:hAnsi="微软雅黑" w:eastAsia="微软雅黑" w:cs="微软雅黑"/>
          <w:b/>
          <w:bCs/>
          <w:color w:val="2C2C2C"/>
          <w:sz w:val="24"/>
          <w:szCs w:val="24"/>
        </w:rPr>
        <w:t xml:space="preserve"> 进一步明确关键主体法律责任。</w:t>
      </w:r>
      <w:r>
        <w:rPr>
          <w:rFonts w:ascii="微软雅黑" w:hAnsi="微软雅黑" w:eastAsia="微软雅黑" w:cs="微软雅黑"/>
          <w:color w:val="2C2C2C"/>
          <w:sz w:val="24"/>
          <w:szCs w:val="24"/>
        </w:rPr>
        <w:t>新增规定对特定主体利用内幕信息从事交易行为的法律责任进行了细化，扩大了责任主体的覆盖范围，强化了对上市公司"关键少数"的约束。</w:t>
      </w:r>
    </w:p>
    <w:p w14:paraId="4CAA210D">
      <w:pPr>
        <w:spacing w:after="120" w:line="360" w:lineRule="auto"/>
        <w:ind w:firstLine="480"/>
        <w:rPr>
          <w:sz w:val="24"/>
          <w:szCs w:val="24"/>
        </w:rPr>
      </w:pPr>
      <w:r>
        <w:rPr>
          <w:rFonts w:ascii="微软雅黑" w:hAnsi="微软雅黑" w:eastAsia="微软雅黑" w:cs="微软雅黑"/>
          <w:b/>
          <w:bCs/>
          <w:color w:val="2C2C2C"/>
          <w:sz w:val="24"/>
          <w:szCs w:val="24"/>
        </w:rPr>
        <w:t>2</w:t>
      </w:r>
      <w:r>
        <w:rPr>
          <w:rFonts w:hint="eastAsia" w:cs="微软雅黑"/>
          <w:b/>
          <w:bCs/>
          <w:color w:val="2C2C2C"/>
          <w:sz w:val="24"/>
          <w:szCs w:val="24"/>
          <w:lang w:eastAsia="zh-CN"/>
        </w:rPr>
        <w:t>.</w:t>
      </w:r>
      <w:r>
        <w:rPr>
          <w:rFonts w:ascii="微软雅黑" w:hAnsi="微软雅黑" w:eastAsia="微软雅黑" w:cs="微软雅黑"/>
          <w:b/>
          <w:bCs/>
          <w:color w:val="2C2C2C"/>
          <w:sz w:val="24"/>
          <w:szCs w:val="24"/>
        </w:rPr>
        <w:t xml:space="preserve"> 完善内幕信息认定标准。</w:t>
      </w:r>
      <w:r>
        <w:rPr>
          <w:rFonts w:ascii="微软雅黑" w:hAnsi="微软雅黑" w:eastAsia="微软雅黑" w:cs="微软雅黑"/>
          <w:color w:val="2C2C2C"/>
          <w:sz w:val="24"/>
          <w:szCs w:val="24"/>
        </w:rPr>
        <w:t>结合资本市场新型交易形态，对内幕信息的形成时间、公开方式等认定标准进行完善，回应了实务中认定的难点问题。</w:t>
      </w:r>
    </w:p>
    <w:p w14:paraId="5810F200">
      <w:pPr>
        <w:spacing w:after="120" w:line="360" w:lineRule="auto"/>
        <w:ind w:firstLine="480"/>
        <w:rPr>
          <w:sz w:val="24"/>
          <w:szCs w:val="24"/>
        </w:rPr>
      </w:pPr>
      <w:r>
        <w:rPr>
          <w:rFonts w:ascii="微软雅黑" w:hAnsi="微软雅黑" w:eastAsia="微软雅黑" w:cs="微软雅黑"/>
          <w:b/>
          <w:bCs/>
          <w:color w:val="2C2C2C"/>
          <w:sz w:val="24"/>
          <w:szCs w:val="24"/>
        </w:rPr>
        <w:t>3</w:t>
      </w:r>
      <w:r>
        <w:rPr>
          <w:rFonts w:hint="eastAsia" w:cs="微软雅黑"/>
          <w:b/>
          <w:bCs/>
          <w:color w:val="2C2C2C"/>
          <w:sz w:val="24"/>
          <w:szCs w:val="24"/>
          <w:lang w:eastAsia="zh-CN"/>
        </w:rPr>
        <w:t>.</w:t>
      </w:r>
      <w:r>
        <w:rPr>
          <w:rFonts w:ascii="微软雅黑" w:hAnsi="微软雅黑" w:eastAsia="微软雅黑" w:cs="微软雅黑"/>
          <w:b/>
          <w:bCs/>
          <w:color w:val="2C2C2C"/>
          <w:sz w:val="24"/>
          <w:szCs w:val="24"/>
        </w:rPr>
        <w:t xml:space="preserve"> 调整量刑标准。</w:t>
      </w:r>
      <w:r>
        <w:rPr>
          <w:rFonts w:ascii="微软雅黑" w:hAnsi="微软雅黑" w:eastAsia="微软雅黑" w:cs="微软雅黑"/>
          <w:color w:val="2C2C2C"/>
          <w:sz w:val="24"/>
          <w:szCs w:val="24"/>
        </w:rPr>
        <w:t>根据近年来资本市场发展和违法犯罪变化情况，对"情节严重""情节特别严重"的认定标准进行了适当调整，体现了依法从严惩处的政策导向。</w:t>
      </w:r>
    </w:p>
    <w:p w14:paraId="63421508">
      <w:pPr>
        <w:spacing w:after="120" w:line="360" w:lineRule="auto"/>
        <w:ind w:firstLine="480"/>
        <w:rPr>
          <w:rFonts w:ascii="微软雅黑" w:hAnsi="微软雅黑" w:eastAsia="微软雅黑" w:cs="微软雅黑"/>
          <w:color w:val="2C2C2C"/>
          <w:sz w:val="21"/>
          <w:szCs w:val="21"/>
        </w:rPr>
      </w:pPr>
      <w:r>
        <w:rPr>
          <w:rFonts w:ascii="微软雅黑" w:hAnsi="微软雅黑" w:eastAsia="微软雅黑" w:cs="微软雅黑"/>
          <w:b/>
          <w:bCs/>
          <w:color w:val="2C2C2C"/>
          <w:sz w:val="24"/>
          <w:szCs w:val="24"/>
        </w:rPr>
        <w:t>4</w:t>
      </w:r>
      <w:r>
        <w:rPr>
          <w:rFonts w:hint="eastAsia" w:cs="微软雅黑"/>
          <w:b/>
          <w:bCs/>
          <w:color w:val="2C2C2C"/>
          <w:sz w:val="24"/>
          <w:szCs w:val="24"/>
          <w:lang w:eastAsia="zh-CN"/>
        </w:rPr>
        <w:t>.</w:t>
      </w:r>
      <w:r>
        <w:rPr>
          <w:rFonts w:ascii="微软雅黑" w:hAnsi="微软雅黑" w:eastAsia="微软雅黑" w:cs="微软雅黑"/>
          <w:b/>
          <w:bCs/>
          <w:color w:val="2C2C2C"/>
          <w:sz w:val="24"/>
          <w:szCs w:val="24"/>
        </w:rPr>
        <w:t xml:space="preserve"> 强化行刑衔接。</w:t>
      </w:r>
      <w:r>
        <w:rPr>
          <w:rFonts w:ascii="微软雅黑" w:hAnsi="微软雅黑" w:eastAsia="微软雅黑" w:cs="微软雅黑"/>
          <w:color w:val="2C2C2C"/>
          <w:sz w:val="24"/>
          <w:szCs w:val="24"/>
        </w:rPr>
        <w:t>进一步明确了行政处罚与刑事追责的衔接机制，确保内幕交易违法行为"应罚尽罚、应追尽追"，消除监管盲区。</w:t>
      </w:r>
    </w:p>
    <w:p w14:paraId="519E56FE">
      <w:pPr>
        <w:spacing w:after="120" w:line="360" w:lineRule="auto"/>
        <w:ind w:firstLine="480"/>
        <w:rPr>
          <w:rFonts w:ascii="微软雅黑" w:hAnsi="微软雅黑" w:eastAsia="微软雅黑" w:cs="微软雅黑"/>
          <w:color w:val="2C2C2C"/>
          <w:sz w:val="21"/>
          <w:szCs w:val="21"/>
        </w:rPr>
      </w:pPr>
    </w:p>
    <w:p w14:paraId="677EEADA">
      <w:pPr>
        <w:spacing w:after="120" w:line="360" w:lineRule="auto"/>
        <w:ind w:firstLine="480"/>
        <w:rPr>
          <w:rFonts w:ascii="微软雅黑" w:hAnsi="微软雅黑" w:eastAsia="微软雅黑" w:cs="微软雅黑"/>
          <w:color w:val="2C2C2C"/>
          <w:sz w:val="21"/>
          <w:szCs w:val="21"/>
        </w:rPr>
      </w:pPr>
    </w:p>
    <w:p w14:paraId="0157E662">
      <w:pPr>
        <w:spacing w:after="120" w:line="360" w:lineRule="auto"/>
        <w:ind w:firstLine="480"/>
        <w:rPr>
          <w:rFonts w:ascii="微软雅黑" w:hAnsi="微软雅黑" w:eastAsia="微软雅黑" w:cs="微软雅黑"/>
          <w:color w:val="2C2C2C"/>
          <w:sz w:val="21"/>
          <w:szCs w:val="21"/>
        </w:rPr>
      </w:pPr>
    </w:p>
    <w:p w14:paraId="5BFFBA92">
      <w:pPr>
        <w:spacing w:after="120" w:line="360" w:lineRule="auto"/>
        <w:ind w:firstLine="480"/>
        <w:rPr>
          <w:rFonts w:ascii="微软雅黑" w:hAnsi="微软雅黑" w:eastAsia="微软雅黑" w:cs="微软雅黑"/>
          <w:color w:val="2C2C2C"/>
          <w:sz w:val="21"/>
          <w:szCs w:val="21"/>
        </w:rPr>
      </w:pPr>
    </w:p>
    <w:p w14:paraId="7363E7BD">
      <w:pPr>
        <w:spacing w:after="120" w:line="360" w:lineRule="auto"/>
        <w:ind w:firstLine="480"/>
        <w:rPr>
          <w:rFonts w:ascii="微软雅黑" w:hAnsi="微软雅黑" w:eastAsia="微软雅黑" w:cs="微软雅黑"/>
          <w:color w:val="2C2C2C"/>
          <w:sz w:val="21"/>
          <w:szCs w:val="21"/>
        </w:rPr>
      </w:pPr>
    </w:p>
    <w:p w14:paraId="516C96E2">
      <w:pPr>
        <w:spacing w:after="120" w:line="360" w:lineRule="auto"/>
        <w:ind w:firstLine="480"/>
        <w:rPr>
          <w:rFonts w:ascii="微软雅黑" w:hAnsi="微软雅黑" w:eastAsia="微软雅黑" w:cs="微软雅黑"/>
          <w:color w:val="2C2C2C"/>
          <w:sz w:val="21"/>
          <w:szCs w:val="21"/>
        </w:rPr>
      </w:pPr>
    </w:p>
    <w:p w14:paraId="3C86A8F7">
      <w:pPr>
        <w:spacing w:after="120" w:line="360" w:lineRule="auto"/>
        <w:ind w:firstLine="480"/>
        <w:rPr>
          <w:rFonts w:ascii="微软雅黑" w:hAnsi="微软雅黑" w:eastAsia="微软雅黑" w:cs="微软雅黑"/>
          <w:color w:val="2C2C2C"/>
          <w:sz w:val="21"/>
          <w:szCs w:val="21"/>
        </w:rPr>
      </w:pPr>
    </w:p>
    <w:p w14:paraId="09ED8CCD">
      <w:pPr>
        <w:spacing w:after="120" w:line="360" w:lineRule="auto"/>
        <w:ind w:firstLine="480"/>
        <w:rPr>
          <w:rFonts w:ascii="微软雅黑" w:hAnsi="微软雅黑" w:eastAsia="微软雅黑" w:cs="微软雅黑"/>
          <w:color w:val="2C2C2C"/>
          <w:sz w:val="21"/>
          <w:szCs w:val="21"/>
        </w:rPr>
      </w:pPr>
    </w:p>
    <w:p w14:paraId="2F501659">
      <w:pPr>
        <w:pStyle w:val="2"/>
        <w:keepNext/>
        <w:keepLines/>
        <w:spacing w:before="400" w:after="200"/>
        <w:rPr>
          <w:rFonts w:hint="eastAsia" w:cs="黑体"/>
          <w:b/>
          <w:bCs/>
          <w:color w:val="1B3A5C"/>
          <w:sz w:val="40"/>
          <w:szCs w:val="40"/>
          <w:lang w:val="en-US" w:eastAsia="zh-CN"/>
        </w:rPr>
      </w:pPr>
      <w:bookmarkStart w:id="5" w:name="_legal"/>
    </w:p>
    <w:p w14:paraId="6A018D52">
      <w:pPr>
        <w:pStyle w:val="2"/>
        <w:keepNext/>
        <w:keepLines/>
        <w:spacing w:before="400" w:after="200"/>
        <w:rPr>
          <w:rFonts w:hint="eastAsia" w:cs="黑体"/>
          <w:b/>
          <w:bCs/>
          <w:color w:val="1B3A5C"/>
          <w:sz w:val="40"/>
          <w:szCs w:val="40"/>
          <w:lang w:val="en-US" w:eastAsia="zh-CN"/>
        </w:rPr>
      </w:pPr>
    </w:p>
    <w:p w14:paraId="165C0704">
      <w:pPr>
        <w:pStyle w:val="2"/>
        <w:keepNext/>
        <w:keepLines/>
        <w:spacing w:before="400" w:after="200"/>
        <w:rPr>
          <w:rFonts w:hint="eastAsia" w:cs="黑体"/>
          <w:b/>
          <w:bCs/>
          <w:color w:val="1B3A5C"/>
          <w:sz w:val="40"/>
          <w:szCs w:val="40"/>
          <w:lang w:val="en-US" w:eastAsia="zh-CN"/>
        </w:rPr>
      </w:pPr>
    </w:p>
    <w:p w14:paraId="581970FF">
      <w:pPr>
        <w:pStyle w:val="2"/>
        <w:keepNext/>
        <w:keepLines/>
        <w:spacing w:before="400" w:after="200"/>
        <w:rPr>
          <w:rFonts w:hint="eastAsia" w:cs="黑体"/>
          <w:b/>
          <w:bCs/>
          <w:color w:val="1B3A5C"/>
          <w:sz w:val="40"/>
          <w:szCs w:val="40"/>
          <w:lang w:val="en-US" w:eastAsia="zh-CN"/>
        </w:rPr>
      </w:pPr>
    </w:p>
    <w:p w14:paraId="45D92707">
      <w:pPr>
        <w:rPr>
          <w:rFonts w:hint="eastAsia" w:cs="黑体"/>
          <w:b/>
          <w:bCs/>
          <w:color w:val="1B3A5C"/>
          <w:sz w:val="40"/>
          <w:szCs w:val="40"/>
          <w:lang w:val="en-US" w:eastAsia="zh-CN"/>
        </w:rPr>
      </w:pPr>
    </w:p>
    <w:p w14:paraId="70A523A7">
      <w:pPr>
        <w:rPr>
          <w:rFonts w:hint="eastAsia" w:cs="黑体"/>
          <w:b/>
          <w:bCs/>
          <w:color w:val="1B3A5C"/>
          <w:sz w:val="40"/>
          <w:szCs w:val="40"/>
          <w:lang w:val="en-US" w:eastAsia="zh-CN"/>
        </w:rPr>
      </w:pPr>
    </w:p>
    <w:p w14:paraId="0C3414FE">
      <w:pPr>
        <w:pStyle w:val="2"/>
        <w:keepNext/>
        <w:keepLines/>
        <w:spacing w:before="400" w:after="200"/>
      </w:pPr>
      <w:r>
        <w:rPr>
          <w:rFonts w:hint="eastAsia" w:cs="黑体"/>
          <w:b/>
          <w:bCs/>
          <w:color w:val="1B3A5C"/>
          <w:sz w:val="40"/>
          <w:szCs w:val="40"/>
          <w:lang w:val="en-US" w:eastAsia="zh-CN"/>
        </w:rPr>
        <w:t>四</w:t>
      </w:r>
      <w:r>
        <w:rPr>
          <w:rFonts w:ascii="黑体" w:hAnsi="黑体" w:eastAsia="黑体" w:cs="黑体"/>
          <w:b/>
          <w:bCs/>
          <w:color w:val="1B3A5C"/>
          <w:sz w:val="40"/>
          <w:szCs w:val="40"/>
        </w:rPr>
        <w:t>、前沿法律</w:t>
      </w:r>
      <w:bookmarkEnd w:id="5"/>
    </w:p>
    <w:p w14:paraId="3AF49BDD">
      <w:pPr>
        <w:pStyle w:val="3"/>
        <w:keepNext/>
        <w:keepLines/>
        <w:spacing w:before="400" w:after="200"/>
      </w:pPr>
      <w:bookmarkStart w:id="6" w:name="_toc_auto_11"/>
      <w:r>
        <w:rPr>
          <w:rFonts w:ascii="黑体" w:hAnsi="黑体" w:eastAsia="黑体" w:cs="黑体"/>
          <w:b/>
          <w:bCs/>
          <w:color w:val="1B3A5C"/>
          <w:sz w:val="32"/>
          <w:szCs w:val="32"/>
        </w:rPr>
        <w:t>（一）反洗钱法</w:t>
      </w:r>
      <w:bookmarkEnd w:id="6"/>
    </w:p>
    <w:p w14:paraId="6C0B274C">
      <w:pPr>
        <w:spacing w:after="120" w:line="360" w:lineRule="auto"/>
        <w:ind w:firstLine="480"/>
        <w:rPr>
          <w:sz w:val="24"/>
          <w:szCs w:val="24"/>
        </w:rPr>
      </w:pPr>
      <w:r>
        <w:rPr>
          <w:rFonts w:ascii="微软雅黑" w:hAnsi="微软雅黑" w:eastAsia="微软雅黑" w:cs="微软雅黑"/>
          <w:color w:val="2C2C2C"/>
          <w:sz w:val="24"/>
          <w:szCs w:val="24"/>
        </w:rPr>
        <w:t>2024年11月8日，第十四届全国人大常委会第十二次会议修订通过《中华人民共和国反洗钱法》，自2025年1月1日起施行。2026年1月13日，中国人民银行、外交部、公安部、国家安全部、司法部、财政部、住房城乡建设部、市场监管总局八部门联合公布《反洗钱特别预防措施管理办法》，自2026年2月16日起施行。该办法是落实《反洗钱法》的重要配套制度，对金融保险机构的合规工作提出了更高要求。</w:t>
      </w:r>
    </w:p>
    <w:p w14:paraId="357E12D7">
      <w:pPr>
        <w:spacing w:after="120" w:line="360" w:lineRule="auto"/>
        <w:ind w:firstLine="480"/>
        <w:rPr>
          <w:rFonts w:ascii="微软雅黑" w:hAnsi="微软雅黑" w:eastAsia="微软雅黑" w:cs="微软雅黑"/>
          <w:color w:val="2C2C2C"/>
          <w:sz w:val="24"/>
          <w:szCs w:val="24"/>
        </w:rPr>
      </w:pPr>
      <w:r>
        <w:rPr>
          <w:rFonts w:ascii="微软雅黑" w:hAnsi="微软雅黑" w:eastAsia="微软雅黑" w:cs="微软雅黑"/>
          <w:color w:val="2C2C2C"/>
          <w:sz w:val="24"/>
          <w:szCs w:val="24"/>
        </w:rPr>
        <w:t>2026年5月，全国律协在广州召开律师行业反洗钱业务交流会。</w:t>
      </w:r>
    </w:p>
    <w:p w14:paraId="461F64F6">
      <w:pPr>
        <w:pStyle w:val="4"/>
        <w:keepNext/>
        <w:keepLines/>
        <w:spacing w:before="400" w:after="200"/>
        <w:rPr>
          <w:rFonts w:ascii="微软雅黑" w:hAnsi="微软雅黑" w:eastAsia="微软雅黑" w:cs="微软雅黑"/>
          <w:b/>
          <w:bCs/>
          <w:color w:val="000000" w:themeColor="text1"/>
          <w:sz w:val="24"/>
          <w:szCs w:val="24"/>
          <w:highlight w:val="none"/>
          <w14:textFill>
            <w14:solidFill>
              <w14:schemeClr w14:val="tx1"/>
            </w14:solidFill>
          </w14:textFill>
        </w:rPr>
      </w:pPr>
      <w:r>
        <w:rPr>
          <w:rFonts w:ascii="微软雅黑" w:hAnsi="微软雅黑" w:eastAsia="微软雅黑" w:cs="微软雅黑"/>
          <w:b/>
          <w:bCs/>
          <w:color w:val="000000" w:themeColor="text1"/>
          <w:sz w:val="24"/>
          <w:szCs w:val="24"/>
          <w:highlight w:val="none"/>
          <w14:textFill>
            <w14:solidFill>
              <w14:schemeClr w14:val="tx1"/>
            </w14:solidFill>
          </w14:textFill>
        </w:rPr>
        <w:t>核心要点</w:t>
      </w:r>
    </w:p>
    <w:p w14:paraId="2AE20280">
      <w:pPr>
        <w:spacing w:after="120" w:line="360" w:lineRule="auto"/>
        <w:ind w:firstLine="480"/>
        <w:rPr>
          <w:color w:val="000000" w:themeColor="text1"/>
          <w:sz w:val="24"/>
          <w:szCs w:val="24"/>
          <w:highlight w:val="none"/>
          <w14:textFill>
            <w14:solidFill>
              <w14:schemeClr w14:val="tx1"/>
            </w14:solidFill>
          </w14:textFill>
        </w:rPr>
      </w:pPr>
      <w:r>
        <w:rPr>
          <w:rFonts w:ascii="微软雅黑" w:hAnsi="微软雅黑" w:eastAsia="微软雅黑" w:cs="微软雅黑"/>
          <w:b/>
          <w:bCs/>
          <w:color w:val="000000" w:themeColor="text1"/>
          <w:sz w:val="24"/>
          <w:szCs w:val="24"/>
          <w:highlight w:val="none"/>
          <w14:textFill>
            <w14:solidFill>
              <w14:schemeClr w14:val="tx1"/>
            </w14:solidFill>
          </w14:textFill>
        </w:rPr>
        <w:t>1</w:t>
      </w:r>
      <w:r>
        <w:rPr>
          <w:rFonts w:hint="eastAsia" w:cs="微软雅黑"/>
          <w:b/>
          <w:bCs/>
          <w:color w:val="000000" w:themeColor="text1"/>
          <w:sz w:val="24"/>
          <w:szCs w:val="24"/>
          <w:highlight w:val="none"/>
          <w:lang w:eastAsia="zh-CN"/>
          <w14:textFill>
            <w14:solidFill>
              <w14:schemeClr w14:val="tx1"/>
            </w14:solidFill>
          </w14:textFill>
        </w:rPr>
        <w:t>.</w:t>
      </w:r>
      <w:r>
        <w:rPr>
          <w:rFonts w:ascii="微软雅黑" w:hAnsi="微软雅黑" w:eastAsia="微软雅黑" w:cs="微软雅黑"/>
          <w:b/>
          <w:bCs/>
          <w:color w:val="000000" w:themeColor="text1"/>
          <w:sz w:val="24"/>
          <w:szCs w:val="24"/>
          <w:highlight w:val="none"/>
          <w14:textFill>
            <w14:solidFill>
              <w14:schemeClr w14:val="tx1"/>
            </w14:solidFill>
          </w14:textFill>
        </w:rPr>
        <w:t>名单管理义务：</w:t>
      </w:r>
      <w:r>
        <w:rPr>
          <w:rFonts w:ascii="微软雅黑" w:hAnsi="微软雅黑" w:eastAsia="微软雅黑" w:cs="微软雅黑"/>
          <w:color w:val="000000" w:themeColor="text1"/>
          <w:sz w:val="24"/>
          <w:szCs w:val="24"/>
          <w:highlight w:val="none"/>
          <w14:textFill>
            <w14:solidFill>
              <w14:schemeClr w14:val="tx1"/>
            </w14:solidFill>
          </w14:textFill>
        </w:rPr>
        <w:t>金融机构须建立与反洗钱特别预防措施名单相匹配的客户筛查系统，确保在开户、交易、汇款等环节实时比对。</w:t>
      </w:r>
    </w:p>
    <w:p w14:paraId="475F1C77">
      <w:pPr>
        <w:spacing w:after="120" w:line="360" w:lineRule="auto"/>
        <w:ind w:firstLine="480"/>
        <w:rPr>
          <w:color w:val="000000" w:themeColor="text1"/>
          <w:sz w:val="24"/>
          <w:szCs w:val="24"/>
          <w:highlight w:val="none"/>
          <w14:textFill>
            <w14:solidFill>
              <w14:schemeClr w14:val="tx1"/>
            </w14:solidFill>
          </w14:textFill>
        </w:rPr>
      </w:pPr>
      <w:r>
        <w:rPr>
          <w:rFonts w:ascii="微软雅黑" w:hAnsi="微软雅黑" w:eastAsia="微软雅黑" w:cs="微软雅黑"/>
          <w:b/>
          <w:bCs/>
          <w:color w:val="000000" w:themeColor="text1"/>
          <w:sz w:val="24"/>
          <w:szCs w:val="24"/>
          <w:highlight w:val="none"/>
          <w14:textFill>
            <w14:solidFill>
              <w14:schemeClr w14:val="tx1"/>
            </w14:solidFill>
          </w14:textFill>
        </w:rPr>
        <w:t>2</w:t>
      </w:r>
      <w:r>
        <w:rPr>
          <w:rFonts w:hint="eastAsia" w:cs="微软雅黑"/>
          <w:b/>
          <w:bCs/>
          <w:color w:val="000000" w:themeColor="text1"/>
          <w:sz w:val="24"/>
          <w:szCs w:val="24"/>
          <w:highlight w:val="none"/>
          <w:lang w:eastAsia="zh-CN"/>
          <w14:textFill>
            <w14:solidFill>
              <w14:schemeClr w14:val="tx1"/>
            </w14:solidFill>
          </w14:textFill>
        </w:rPr>
        <w:t>.</w:t>
      </w:r>
      <w:r>
        <w:rPr>
          <w:rFonts w:ascii="微软雅黑" w:hAnsi="微软雅黑" w:eastAsia="微软雅黑" w:cs="微软雅黑"/>
          <w:b/>
          <w:bCs/>
          <w:color w:val="000000" w:themeColor="text1"/>
          <w:sz w:val="24"/>
          <w:szCs w:val="24"/>
          <w:highlight w:val="none"/>
          <w14:textFill>
            <w14:solidFill>
              <w14:schemeClr w14:val="tx1"/>
            </w14:solidFill>
          </w14:textFill>
        </w:rPr>
        <w:t xml:space="preserve"> 资产冻结义务：</w:t>
      </w:r>
      <w:r>
        <w:rPr>
          <w:rFonts w:ascii="微软雅黑" w:hAnsi="微软雅黑" w:eastAsia="微软雅黑" w:cs="微软雅黑"/>
          <w:color w:val="000000" w:themeColor="text1"/>
          <w:sz w:val="24"/>
          <w:szCs w:val="24"/>
          <w:highlight w:val="none"/>
          <w14:textFill>
            <w14:solidFill>
              <w14:schemeClr w14:val="tx1"/>
            </w14:solidFill>
          </w14:textFill>
        </w:rPr>
        <w:t>对名单所列主体，金融机构应立即采取冻结措施，不得擅自解除或转移相关资产。</w:t>
      </w:r>
    </w:p>
    <w:p w14:paraId="214511C0">
      <w:pPr>
        <w:spacing w:after="120" w:line="360" w:lineRule="auto"/>
        <w:ind w:firstLine="480"/>
        <w:rPr>
          <w:color w:val="000000" w:themeColor="text1"/>
          <w:sz w:val="24"/>
          <w:szCs w:val="24"/>
          <w:highlight w:val="none"/>
          <w14:textFill>
            <w14:solidFill>
              <w14:schemeClr w14:val="tx1"/>
            </w14:solidFill>
          </w14:textFill>
        </w:rPr>
      </w:pPr>
      <w:r>
        <w:rPr>
          <w:rFonts w:ascii="微软雅黑" w:hAnsi="微软雅黑" w:eastAsia="微软雅黑" w:cs="微软雅黑"/>
          <w:b/>
          <w:bCs/>
          <w:color w:val="000000" w:themeColor="text1"/>
          <w:sz w:val="24"/>
          <w:szCs w:val="24"/>
          <w:highlight w:val="none"/>
          <w14:textFill>
            <w14:solidFill>
              <w14:schemeClr w14:val="tx1"/>
            </w14:solidFill>
          </w14:textFill>
        </w:rPr>
        <w:t>3</w:t>
      </w:r>
      <w:r>
        <w:rPr>
          <w:rFonts w:hint="eastAsia" w:cs="微软雅黑"/>
          <w:b/>
          <w:bCs/>
          <w:color w:val="000000" w:themeColor="text1"/>
          <w:sz w:val="24"/>
          <w:szCs w:val="24"/>
          <w:highlight w:val="none"/>
          <w:lang w:eastAsia="zh-CN"/>
          <w14:textFill>
            <w14:solidFill>
              <w14:schemeClr w14:val="tx1"/>
            </w14:solidFill>
          </w14:textFill>
        </w:rPr>
        <w:t>.</w:t>
      </w:r>
      <w:r>
        <w:rPr>
          <w:rFonts w:ascii="微软雅黑" w:hAnsi="微软雅黑" w:eastAsia="微软雅黑" w:cs="微软雅黑"/>
          <w:b/>
          <w:bCs/>
          <w:color w:val="000000" w:themeColor="text1"/>
          <w:sz w:val="24"/>
          <w:szCs w:val="24"/>
          <w:highlight w:val="none"/>
          <w14:textFill>
            <w14:solidFill>
              <w14:schemeClr w14:val="tx1"/>
            </w14:solidFill>
          </w14:textFill>
        </w:rPr>
        <w:t xml:space="preserve"> 报告义务：</w:t>
      </w:r>
      <w:r>
        <w:rPr>
          <w:rFonts w:ascii="微软雅黑" w:hAnsi="微软雅黑" w:eastAsia="微软雅黑" w:cs="微软雅黑"/>
          <w:color w:val="000000" w:themeColor="text1"/>
          <w:sz w:val="24"/>
          <w:szCs w:val="24"/>
          <w:highlight w:val="none"/>
          <w14:textFill>
            <w14:solidFill>
              <w14:schemeClr w14:val="tx1"/>
            </w14:solidFill>
          </w14:textFill>
        </w:rPr>
        <w:t>发现疑似名单所列主体交易的，应当在规定时限内向反洗钱监测分析中心和中国反洗钱监测分析中心报告。</w:t>
      </w:r>
    </w:p>
    <w:p w14:paraId="0F6E6FD0">
      <w:pPr>
        <w:spacing w:after="120" w:line="360" w:lineRule="auto"/>
        <w:ind w:firstLine="480"/>
        <w:rPr>
          <w:rFonts w:ascii="微软雅黑" w:hAnsi="微软雅黑" w:eastAsia="微软雅黑" w:cs="微软雅黑"/>
          <w:color w:val="000000" w:themeColor="text1"/>
          <w:sz w:val="24"/>
          <w:szCs w:val="24"/>
          <w:highlight w:val="none"/>
          <w14:textFill>
            <w14:solidFill>
              <w14:schemeClr w14:val="tx1"/>
            </w14:solidFill>
          </w14:textFill>
        </w:rPr>
      </w:pPr>
      <w:r>
        <w:rPr>
          <w:rFonts w:ascii="微软雅黑" w:hAnsi="微软雅黑" w:eastAsia="微软雅黑" w:cs="微软雅黑"/>
          <w:b/>
          <w:bCs/>
          <w:color w:val="000000" w:themeColor="text1"/>
          <w:sz w:val="24"/>
          <w:szCs w:val="24"/>
          <w:highlight w:val="none"/>
          <w14:textFill>
            <w14:solidFill>
              <w14:schemeClr w14:val="tx1"/>
            </w14:solidFill>
          </w14:textFill>
        </w:rPr>
        <w:t>4</w:t>
      </w:r>
      <w:r>
        <w:rPr>
          <w:rFonts w:hint="eastAsia" w:cs="微软雅黑"/>
          <w:b/>
          <w:bCs/>
          <w:color w:val="000000" w:themeColor="text1"/>
          <w:sz w:val="24"/>
          <w:szCs w:val="24"/>
          <w:highlight w:val="none"/>
          <w:lang w:eastAsia="zh-CN"/>
          <w14:textFill>
            <w14:solidFill>
              <w14:schemeClr w14:val="tx1"/>
            </w14:solidFill>
          </w14:textFill>
        </w:rPr>
        <w:t>.</w:t>
      </w:r>
      <w:r>
        <w:rPr>
          <w:rFonts w:ascii="微软雅黑" w:hAnsi="微软雅黑" w:eastAsia="微软雅黑" w:cs="微软雅黑"/>
          <w:b/>
          <w:bCs/>
          <w:color w:val="000000" w:themeColor="text1"/>
          <w:sz w:val="24"/>
          <w:szCs w:val="24"/>
          <w:highlight w:val="none"/>
          <w14:textFill>
            <w14:solidFill>
              <w14:schemeClr w14:val="tx1"/>
            </w14:solidFill>
          </w14:textFill>
        </w:rPr>
        <w:t xml:space="preserve"> 内控制度建设：</w:t>
      </w:r>
      <w:r>
        <w:rPr>
          <w:rFonts w:ascii="微软雅黑" w:hAnsi="微软雅黑" w:eastAsia="微软雅黑" w:cs="微软雅黑"/>
          <w:color w:val="000000" w:themeColor="text1"/>
          <w:sz w:val="24"/>
          <w:szCs w:val="24"/>
          <w:highlight w:val="none"/>
          <w14:textFill>
            <w14:solidFill>
              <w14:schemeClr w14:val="tx1"/>
            </w14:solidFill>
          </w14:textFill>
        </w:rPr>
        <w:t>要求金融机构建立完善的洗钱风险管理体系，定期开展反洗钱培训和审计。</w:t>
      </w:r>
    </w:p>
    <w:p w14:paraId="27F93F5F">
      <w:pPr>
        <w:spacing w:after="120" w:line="360" w:lineRule="auto"/>
        <w:ind w:firstLine="480"/>
        <w:rPr>
          <w:rFonts w:ascii="微软雅黑" w:hAnsi="微软雅黑" w:eastAsia="微软雅黑" w:cs="微软雅黑"/>
          <w:color w:val="000000" w:themeColor="text1"/>
          <w:sz w:val="21"/>
          <w:szCs w:val="21"/>
          <w:highlight w:val="none"/>
          <w14:textFill>
            <w14:solidFill>
              <w14:schemeClr w14:val="tx1"/>
            </w14:solidFill>
          </w14:textFill>
        </w:rPr>
      </w:pPr>
    </w:p>
    <w:p w14:paraId="6DE8C99A">
      <w:pPr>
        <w:spacing w:after="120" w:line="360" w:lineRule="auto"/>
        <w:rPr>
          <w:rFonts w:ascii="微软雅黑" w:hAnsi="微软雅黑" w:eastAsia="微软雅黑" w:cs="微软雅黑"/>
          <w:color w:val="2C2C2C"/>
          <w:sz w:val="24"/>
          <w:szCs w:val="24"/>
        </w:rPr>
      </w:pPr>
    </w:p>
    <w:p w14:paraId="6B7BB509">
      <w:pPr>
        <w:pStyle w:val="3"/>
        <w:keepNext/>
        <w:keepLines/>
        <w:spacing w:before="400" w:after="200"/>
      </w:pPr>
      <w:bookmarkStart w:id="7" w:name="_toc_auto_12"/>
      <w:r>
        <w:rPr>
          <w:rFonts w:ascii="黑体" w:hAnsi="黑体" w:eastAsia="黑体" w:cs="黑体"/>
          <w:b/>
          <w:bCs/>
          <w:color w:val="1B3A5C"/>
          <w:sz w:val="32"/>
          <w:szCs w:val="32"/>
        </w:rPr>
        <w:t>（二）保险法修订进展</w:t>
      </w:r>
      <w:bookmarkEnd w:id="7"/>
    </w:p>
    <w:p w14:paraId="39142C62">
      <w:pPr>
        <w:spacing w:after="120" w:line="360" w:lineRule="auto"/>
        <w:ind w:firstLine="480"/>
        <w:rPr>
          <w:rFonts w:ascii="微软雅黑" w:hAnsi="微软雅黑" w:eastAsia="微软雅黑" w:cs="微软雅黑"/>
          <w:color w:val="2C2C2C"/>
          <w:sz w:val="24"/>
          <w:szCs w:val="24"/>
        </w:rPr>
      </w:pPr>
      <w:r>
        <w:rPr>
          <w:rFonts w:ascii="微软雅黑" w:hAnsi="微软雅黑" w:eastAsia="微软雅黑" w:cs="微软雅黑"/>
          <w:color w:val="2C2C2C"/>
          <w:sz w:val="24"/>
          <w:szCs w:val="24"/>
        </w:rPr>
        <w:t>2026年6月，国家金融监督管理总局局长丁向群在陆家嘴论坛上明确表示，将"加快推动银监法、保险法修订出台"。这一表态标志着保险法修订工作进入加速期。</w:t>
      </w:r>
    </w:p>
    <w:p w14:paraId="55C83F4A">
      <w:pPr>
        <w:spacing w:after="120" w:line="360" w:lineRule="auto"/>
        <w:ind w:firstLine="480"/>
        <w:rPr>
          <w:rFonts w:hint="default" w:ascii="微软雅黑" w:hAnsi="微软雅黑" w:eastAsia="微软雅黑" w:cs="微软雅黑"/>
          <w:color w:val="2C2C2C"/>
          <w:sz w:val="24"/>
          <w:szCs w:val="24"/>
        </w:rPr>
      </w:pPr>
      <w:r>
        <w:rPr>
          <w:rFonts w:ascii="微软雅黑" w:hAnsi="微软雅黑" w:eastAsia="微软雅黑" w:cs="微软雅黑"/>
          <w:color w:val="2C2C2C"/>
          <w:sz w:val="24"/>
          <w:szCs w:val="24"/>
        </w:rPr>
        <w:t>6月28日“协同互动筑基金融强国”保险法修订研讨会</w:t>
      </w:r>
      <w:r>
        <w:rPr>
          <w:rFonts w:hint="default" w:ascii="微软雅黑" w:hAnsi="微软雅黑" w:eastAsia="微软雅黑" w:cs="微软雅黑"/>
          <w:color w:val="2C2C2C"/>
          <w:sz w:val="24"/>
          <w:szCs w:val="24"/>
        </w:rPr>
        <w:t>：来自全国人大常委会法工委、司法部、金融监管总局、中国人民保险集团、中国人寿、中国再保险等部门的领导、专家共一百多人出席会议，围绕金融法与保险法的关系、监管对象扩张、保险消费者权益保护、风险处置中的保单刚兑问题等核心议题深入讨论。</w:t>
      </w:r>
    </w:p>
    <w:p w14:paraId="6CCB847A">
      <w:pPr>
        <w:spacing w:after="120" w:line="360" w:lineRule="auto"/>
        <w:ind w:firstLine="480"/>
        <w:rPr>
          <w:rFonts w:hint="default" w:ascii="微软雅黑" w:hAnsi="微软雅黑" w:eastAsia="微软雅黑" w:cs="微软雅黑"/>
          <w:color w:val="2C2C2C"/>
          <w:sz w:val="24"/>
          <w:szCs w:val="24"/>
        </w:rPr>
      </w:pPr>
    </w:p>
    <w:p w14:paraId="11794049">
      <w:pPr>
        <w:pStyle w:val="3"/>
        <w:keepNext/>
        <w:keepLines/>
        <w:spacing w:before="400" w:after="200"/>
        <w:rPr>
          <w:rFonts w:ascii="黑体" w:hAnsi="黑体" w:eastAsia="黑体" w:cs="黑体"/>
          <w:b/>
          <w:bCs/>
          <w:color w:val="1B3A5C"/>
          <w:sz w:val="32"/>
          <w:szCs w:val="32"/>
        </w:rPr>
      </w:pPr>
      <w:bookmarkStart w:id="8" w:name="_toc_auto_13"/>
    </w:p>
    <w:p w14:paraId="14103B91"/>
    <w:p w14:paraId="73736B46">
      <w:pPr>
        <w:pStyle w:val="3"/>
        <w:keepNext/>
        <w:keepLines/>
        <w:spacing w:before="400" w:after="200"/>
        <w:rPr>
          <w:rFonts w:ascii="黑体" w:hAnsi="黑体" w:eastAsia="黑体" w:cs="黑体"/>
          <w:b/>
          <w:bCs/>
          <w:color w:val="1B3A5C"/>
          <w:sz w:val="32"/>
          <w:szCs w:val="32"/>
        </w:rPr>
      </w:pPr>
    </w:p>
    <w:p w14:paraId="4EA32568">
      <w:pPr>
        <w:pStyle w:val="3"/>
        <w:keepNext/>
        <w:keepLines/>
        <w:spacing w:before="400" w:after="200"/>
        <w:rPr>
          <w:rFonts w:ascii="黑体" w:hAnsi="黑体" w:eastAsia="黑体" w:cs="黑体"/>
          <w:b/>
          <w:bCs/>
          <w:color w:val="1B3A5C"/>
          <w:sz w:val="32"/>
          <w:szCs w:val="32"/>
        </w:rPr>
      </w:pPr>
    </w:p>
    <w:p w14:paraId="622050D1">
      <w:pPr>
        <w:pStyle w:val="3"/>
        <w:keepNext/>
        <w:keepLines/>
        <w:spacing w:before="400" w:after="200"/>
        <w:rPr>
          <w:rFonts w:ascii="黑体" w:hAnsi="黑体" w:eastAsia="黑体" w:cs="黑体"/>
          <w:b/>
          <w:bCs/>
          <w:color w:val="1B3A5C"/>
          <w:sz w:val="32"/>
          <w:szCs w:val="32"/>
        </w:rPr>
      </w:pPr>
    </w:p>
    <w:p w14:paraId="2D74E40F">
      <w:pPr>
        <w:pStyle w:val="3"/>
        <w:keepNext/>
        <w:keepLines/>
        <w:spacing w:before="400" w:after="200"/>
        <w:rPr>
          <w:rFonts w:ascii="黑体" w:hAnsi="黑体" w:eastAsia="黑体" w:cs="黑体"/>
          <w:b/>
          <w:bCs/>
          <w:color w:val="1B3A5C"/>
          <w:sz w:val="32"/>
          <w:szCs w:val="32"/>
        </w:rPr>
      </w:pPr>
    </w:p>
    <w:p w14:paraId="06A3AF9B">
      <w:pPr>
        <w:pStyle w:val="3"/>
        <w:keepNext/>
        <w:keepLines/>
        <w:spacing w:before="400" w:after="200"/>
        <w:rPr>
          <w:rFonts w:ascii="黑体" w:hAnsi="黑体" w:eastAsia="黑体" w:cs="黑体"/>
          <w:b/>
          <w:bCs/>
          <w:color w:val="1B3A5C"/>
          <w:sz w:val="32"/>
          <w:szCs w:val="32"/>
        </w:rPr>
      </w:pPr>
    </w:p>
    <w:p w14:paraId="2BCDC66A">
      <w:pPr>
        <w:rPr>
          <w:rFonts w:ascii="黑体" w:hAnsi="黑体" w:eastAsia="黑体" w:cs="黑体"/>
          <w:b/>
          <w:bCs/>
          <w:color w:val="1B3A5C"/>
          <w:sz w:val="32"/>
          <w:szCs w:val="32"/>
        </w:rPr>
      </w:pPr>
    </w:p>
    <w:p w14:paraId="278FBFCD">
      <w:pPr>
        <w:rPr>
          <w:rFonts w:ascii="黑体" w:hAnsi="黑体" w:eastAsia="黑体" w:cs="黑体"/>
          <w:b/>
          <w:bCs/>
          <w:color w:val="1B3A5C"/>
          <w:sz w:val="32"/>
          <w:szCs w:val="32"/>
        </w:rPr>
      </w:pPr>
    </w:p>
    <w:p w14:paraId="5F6D2DEE">
      <w:pPr>
        <w:rPr>
          <w:rFonts w:ascii="黑体" w:hAnsi="黑体" w:eastAsia="黑体" w:cs="黑体"/>
          <w:b/>
          <w:bCs/>
          <w:color w:val="1B3A5C"/>
          <w:sz w:val="32"/>
          <w:szCs w:val="32"/>
        </w:rPr>
      </w:pPr>
    </w:p>
    <w:p w14:paraId="33C6880B">
      <w:pPr>
        <w:rPr>
          <w:rFonts w:ascii="黑体" w:hAnsi="黑体" w:eastAsia="黑体" w:cs="黑体"/>
          <w:b/>
          <w:bCs/>
          <w:color w:val="1B3A5C"/>
          <w:sz w:val="32"/>
          <w:szCs w:val="32"/>
        </w:rPr>
      </w:pPr>
    </w:p>
    <w:p w14:paraId="799CE76B">
      <w:pPr>
        <w:rPr>
          <w:rFonts w:ascii="黑体" w:hAnsi="黑体" w:eastAsia="黑体" w:cs="黑体"/>
          <w:b/>
          <w:bCs/>
          <w:color w:val="1B3A5C"/>
          <w:sz w:val="32"/>
          <w:szCs w:val="32"/>
        </w:rPr>
      </w:pPr>
    </w:p>
    <w:p w14:paraId="225C4648">
      <w:pPr>
        <w:pStyle w:val="3"/>
        <w:keepNext/>
        <w:keepLines/>
        <w:spacing w:before="400" w:after="200"/>
      </w:pPr>
      <w:r>
        <w:rPr>
          <w:rFonts w:ascii="黑体" w:hAnsi="黑体" w:eastAsia="黑体" w:cs="黑体"/>
          <w:b/>
          <w:bCs/>
          <w:color w:val="1B3A5C"/>
          <w:sz w:val="32"/>
          <w:szCs w:val="32"/>
        </w:rPr>
        <w:t>（三）</w:t>
      </w:r>
      <w:bookmarkEnd w:id="8"/>
      <w:r>
        <w:rPr>
          <w:rFonts w:hint="default" w:ascii="黑体" w:hAnsi="黑体" w:eastAsia="黑体" w:cs="黑体"/>
          <w:b/>
          <w:bCs/>
          <w:color w:val="1B3A5C"/>
          <w:sz w:val="32"/>
          <w:szCs w:val="32"/>
        </w:rPr>
        <w:t>《金融法（草案）》完成首次审议</w:t>
      </w:r>
    </w:p>
    <w:p w14:paraId="4B424B13">
      <w:pPr>
        <w:spacing w:after="120" w:line="360" w:lineRule="auto"/>
        <w:ind w:firstLine="480"/>
        <w:rPr>
          <w:rFonts w:hint="default" w:ascii="微软雅黑" w:hAnsi="微软雅黑" w:eastAsia="微软雅黑" w:cs="微软雅黑"/>
          <w:color w:val="2C2C2C"/>
          <w:sz w:val="21"/>
          <w:szCs w:val="21"/>
        </w:rPr>
      </w:pPr>
      <w:r>
        <w:rPr>
          <w:rFonts w:ascii="微软雅黑" w:hAnsi="微软雅黑" w:eastAsia="微软雅黑" w:cs="微软雅黑"/>
          <w:color w:val="2C2C2C"/>
          <w:sz w:val="24"/>
          <w:szCs w:val="24"/>
        </w:rPr>
        <w:t>2026年6月23日，国务院将《中华人民共和国金融法（草案）》提请</w:t>
      </w:r>
      <w:r>
        <w:rPr>
          <w:rFonts w:hint="default" w:ascii="微软雅黑" w:hAnsi="微软雅黑" w:eastAsia="微软雅黑" w:cs="微软雅黑"/>
          <w:color w:val="2C2C2C"/>
          <w:sz w:val="24"/>
          <w:szCs w:val="24"/>
        </w:rPr>
        <w:t>十四届全国人大常委会第二十三次会议初次审议；6月26日，全国人大常委会公布草案并向社会公开征求意见，征求意见截止日期为2026年7月25日。</w:t>
      </w:r>
    </w:p>
    <w:p w14:paraId="0820CF85">
      <w:pPr>
        <w:spacing w:after="120" w:line="360" w:lineRule="auto"/>
        <w:jc w:val="center"/>
        <w:rPr>
          <w:rFonts w:hint="default" w:ascii="微软雅黑" w:hAnsi="微软雅黑" w:eastAsia="微软雅黑" w:cs="微软雅黑"/>
          <w:color w:val="2C2C2C"/>
          <w:sz w:val="21"/>
          <w:szCs w:val="21"/>
          <w:lang w:val="en-US" w:eastAsia="zh-CN"/>
        </w:rPr>
      </w:pPr>
    </w:p>
    <w:p w14:paraId="18062ECB">
      <w:pPr>
        <w:spacing w:after="120" w:line="360" w:lineRule="auto"/>
        <w:jc w:val="center"/>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中华人民共和国金融法(草案)</w:t>
      </w:r>
    </w:p>
    <w:p w14:paraId="2740CE31">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第一章 总 则 </w:t>
      </w:r>
    </w:p>
    <w:p w14:paraId="0AE0054E">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第一条 为提高金融服务实体经济质效,全面加强金融监管,防范化解金融风险,推动金融高质量发展,加快建设金融强国,有力支撑以中国式现代化全面推进中华民族伟大复兴,根据宪法,制定本法</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08288BE">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第二条 在中华人民共和国境内从事金融活动,适用本法</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425E34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第三条 本法所称金融活动,是指自然人、法人及非法人组织从事的与存款、贷款、保险、证券、期货和衍生品、基金、信托、支付结算、征信等直接相关的货币和信用活动</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国家将金融活动全部纳入监管,依法打击非法金融活动</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DAD50A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本法所称金融机构,是指经国务院或者国务院金融管理部门批准,在中华人民共和国境内设立的从事金融业务的机构,包括银行业、证券基金期货业、保险业、信托业金融机构,金融控股公司,非银行支付机构,以及其他从事金融业务的机构</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EABDB4D">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本法所称金融业务,是指金融机构通过提供金融产品和服务开展的金融活动,以及经金融管理部门批准由其他机构从事的金融活动</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1D577EB">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第四条 金融工作坚持中国共产党的领导</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建立党中央集中统一领导、高效权威的金融工作领导体制</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中央金融工作决策议事协调机构负责金融稳定和发展的顶层设计、统筹协调、整体推进、督促落实,研究审议金融领域重大政策、重大问题等</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C24647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第五条 金融工作坚持以人民为中心,满足人民群众多元化金融需求,保护其合法权益</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EF8580C">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第六条 国家坚持走中国特色金融发展之路,建设中国特色现代金融体系,培育和弘扬中国特色金融文化</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0C64AAD">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第七条 金融工作坚持稳中求进,遵循合法、公平、公正、效率、安全原则</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6EC35C3">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第八条 金融监管坚持管合法更要管非法、管行业必须管风险原则,实施分类分级管理</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强化机构监管、行为监管、功能监管、穿透式监管、持续监管,实现金融监管全覆盖</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A420322">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对金融机构和金融业务通过行政许可方式实施严格准入</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C96579E">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国务院金融管理部门和地方承担金融管理职责的机构各司其职,加强监管协同,维护金融业合法稳健运行</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44DB117">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第九条 坚持总体国家安全观,统筹发展和安全,加强金融风险防控,早识别、早预警、早暴露、早处置,协同高效化解处置金融风险,维护国家金融安全</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59DDA92">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第十条 坚持金融为实体经济服务,深化金融改革,扩大金融开放,在服务经济社会高质量发展过程中实现金融高质量发展</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A041A26">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第二章 中央银行 </w:t>
      </w:r>
    </w:p>
    <w:p w14:paraId="23412E0F">
      <w:pPr>
        <w:spacing w:after="120" w:line="360" w:lineRule="auto"/>
        <w:ind w:firstLine="480" w:firstLineChars="20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第十一条 中国人民银行是中华人民共和国的中央银行</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中国人民银行负责制定并执行货币政策,实施宏观审慎管理,维护金融稳定</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0BB8B2E">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第十二条 中华人民共和国的法定货币是人民币</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人民币由中国人民银行统一制作、发行</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人民币包括实物形式和数字形式</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011B395">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中国人民银行依法管理人民币流通</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任何单位和个人不得以任何形式危害人民币流通秩序</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F73DF1D">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第十三条 中国人民银行健全货币政策框架,根据调控需要依法运用货币政策工具,负责利率政策制定、执行和监管,保持人民币币值的稳定,并以此促进经济增长</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41D143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加强货币政策、财政政策协同,提升宏观经济治理效能</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D20A9D1">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中国人民银行制定和执行信贷政策,实施宏观信贷调控,优化信贷结构,引导金融服务实体经济</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6DFBBAB">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第十四条 中国人民银行牵头建立宏观审慎政策框架,会同国务院有关部门制定宏观审慎政策,监测评估金融体系的整体稳健性,开展宏观审慎管理,防范处置系统性金融风险</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49D2692">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第十五条 中国人民银行会同国务院有关部门对金融市场实施宏观调控和管理,监测金融市场运行情况,可以视情形采取逆周期、跨周期调节等措施,促进金融市场稳健发展</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DDDF01C">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第十六条 中国人民银行监督管理支付、清算体系,维护支付、清算系统的正常运行</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778967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第十七条 中国人民银行负责外汇管理,持有、管理、经营国家外汇储备、黄金储备</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AA67BE5">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第十八条 中国人民银行负责制定金融业综合统计基础标准,组织实施金融业综合统计,会同国务院有关部门建设国家金融基础数据库</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8029F42">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第三章 金融机构 </w:t>
      </w:r>
    </w:p>
    <w:p w14:paraId="6A3C50BE">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第十九条 金融机构应当建立健全组织机构和激励约束制度,明确决策、执行、监督的运行机制,完善治理结构,促进规范运作</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AF7468C">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在金融机构中,根据中国共产党章程和有关党内法规的规定,设立中国共产党的组织,开展党的活动</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金融机构应当为党组织的活动提供必要条件</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3DFD305">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国有金融机构中中国共产党的组织,按照中国共产党章程和有关党内法规的规定发挥领导作用,落实全面从严治党主体责任,支持纪检监察机关履行监督责任,支持金融机构的组织机构依法行使职权</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D2071A4">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第二十条 金融机构及其分支机构设立,或者变更法律、行政法规规定的重大事项,应当经国务院或者国务院金融管理部门批准后,依法向经营主体登记机关办理设立或者变更登记</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5417C99">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经营主体登记机关办理企业设立或者变更登记时,对可能涉及金融属性但未经国务院或者国务院金融管理部门批准的,应当按照规定会商</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DBD6463">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第二十一条 金融机构股东、实际控制人应当符合法律、行政法规、国务院以及国务院金融管理部门规定的资金、诚信等条件</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4EBE275">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金融机构注册资本实行实缴制度</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金融机构股东应当以自有资金出资,国家另有规定的除外</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金融机构股东应当确保出资来源合法、真实,不得以循环注资等方式虚假出资、抽逃出资</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9DEFB48">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金融机构应当确保股权结构清晰</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任何单位和个人不得以任何形式掩盖对金融机构股权的实际控制,不得违反规定委托他人或者接受他人委托持有金融机构股权</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AAF88E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第二十二条 非金融企业或者自然人设立、收购、参股金融机构,应当符合法律、行政法规和国务院金融管理部门的规定,并采取必要措施加强实业与金融的风险隔离,禁止通过金融机构获取不当利益</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E992DB2">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非金融企业、自然人、经认可的法人控股或者实际控制金融机构符合规定情形的,应当依法设立金融控股公司</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8D2D351">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第二十三条 金融机构的实际控制人、股东及其实际控制人应当遵守法律、行政法规、国务院金融管理部门的规定和公司章程,依法行使股东权利、履行股东义务,不得违规占用金融机构资产及其客户资金,不得违规质押金融机构股权,不得滥用股东权利损害金融机构或者其他股东利益,不得违规干预金融机构经营管理</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F7E4E2F">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第二十四条 金融机构的董事、高级管理人员,应当具有履行职责所需的经营管理能力,并在任职前取得国务院金融管理部门批准的任职资格</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11D516B">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金融机构的董事、高级管理人员以及其他工作人员对金融机构负有忠实义务和勤勉义务,不得滥用经营管理权,不得损害相关利益主体的合法权益</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D5F63AF">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金融机构按照规定设监事的,监事适用本法关于董事、高级管理人员的规定</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C049B1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第二十五条 金融机构依法享有自主经营的权利,其合法经营不受干涉</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B44CFDE">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任何单位和个人不得通过或者协助他人通过隐匿、转移财产,虚构债务等方式逃避对金融机构的债务,损害金融机构的利益</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E3D01F3">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第二十六条 金融机构应当在国务院或者国务院金融管理部门批准的业务和地域范围内依法开展业务活动,不得超出上述范围经营</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1E9C4DF">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第二十七条 金融机构应当依法经营,开展业务活动应当与其公司治理、风险管理、合规管理等情况相适应,加强内部控制,持续符合国务院金融管理部门监管要求,承担金融风险防范主体责任,依法履行金融消费者、投资者保护义务</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54F3B4F">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金融机构应当加强廉洁风险防控,防范金融腐败</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7D388AD">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第二十八条 金融机构应当加强关联交易管理,不得利用关联交易进行利益输送或者获取不当利益</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3DF97DE">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金融机构不得违反规定为其股东、实际控制人或者股东、实际控制人的关联人提供融资或者担保</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179221F">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第二十九条 金融机构及其股东、实际控制人、董事、高级管理人员等单位和个人应当按照规定真实、准确、完整地披露或者报送信息</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1049BA6">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第三十条 金融机构依法解散、被撤销、被宣告破产,或者存在法律、行政法规和国务院金融管理部门规定的其他退出情形的,应当停止金融业务,注销金融许可证,并在金融许可证注销后及时向经营主体登记机关申请注销登记</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DE494B4">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金融机构退出的,可以按照规定通过市场化方式与相关利益主体协商处理债权债务,处理未了结的业务</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158C4E2">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第四章 金融产品和服务 </w:t>
      </w:r>
    </w:p>
    <w:p w14:paraId="7554B4FB">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第三十一条 本法所称金融产品和服务,是指由金融机构及其他法人、非法人组织等依法通过合约、协议、凭证等为金融活动提供的产品以及与其直接相关的服务</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399347C">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提供金融产品和服务应当经国务院、国务院金融管理部门</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国务院授权的有关部门,或者经依法授权的组织批准、注册、登记或者备案</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未经批准、注册、登记或者备案,任何单位和个人不得提供或者变相提供金融产品和服务</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03D4EEF">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第三十二条 金融产品和服务应当符合公序良俗,依法合规、性质明确、权利义务清晰,不得通过合并、拆分、嵌套等任何方式规避法律、行政法规和国务院金融管理部门的规定</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61801D4">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第三十三条 金融产品和服务的营销主体应当符合国务院金融管理部门规定的条件,强化适当性管理,不得以欺诈方式对金融产品或者服务进行营销,不得主动推介风险等级高于客户风险承受能力的金融产品或者服务,不得违背客户意愿进行营销,不得违法违规处理个人信息</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通过互联网营销的金融产品或者服务,应当同时遵守互联网领域相关法律法规</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C516F8F">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第三十四条 提供金融产品和服务,应当依照法律、行政法规和国务院金融管理部门的规定,如实披露交易结构、权利义务、收益分配、费用费率、创新设计、风险程度等信息</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1C75679">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第三十五条 国家支持金融产品和服务依法创新</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开展金融产品和服务创新不得以创新名义牟取不当利益或者规避法律、行政法规和国务院金融管理部门的规定</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3C7463D">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第三十六条 国家构建公正、高效、便捷的金融纠纷多元化解机制,支持通过协商、调解、公证、仲裁、诉讼等多种方式处理纠纷</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7F17087">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任何单位和个人购买金融产品或者接受金融服务应当理性、谨慎,提高自我保护意识,依法维护自身合法权益,不得滥用维权手段牟取不当利益、扰乱金融市场秩序</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6CBDDAE">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第三十七条 第三方服务机构为金融活动提供服务,按照规定须经国务院行业主管部门、国务院金融管理部门批准或者备案的,应当办理相关手续,并遵守法律、行政法规以及国务院行业主管部门和国务院金融管理部门的规定</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C35ACB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会计师事务所、资产评估机构为金融活动提供服务,应当经国务院行业主管部门会同国务院金融管理部门批准</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7218697">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第三方服务机构及其从业人员应当诚实守信、勤勉尽责,不得出具或者协助、配合有关主体出具存在虚假记载、误导性陈述或者重大遗漏的文件,不得协助、配合实施其他违法违规行为</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500C51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国务院财政部门制定统一的金融企业财务管理制度,依法依规严厉打击金融机构财务造假行为</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5DB2D7F">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第五章 金融市场 </w:t>
      </w:r>
    </w:p>
    <w:p w14:paraId="7F68912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第三十八条 货币市场、外汇市场、股票市场、债券市场、票据市场、黄金市场、期货和衍生品市场以及其他金融市场应当发挥融通资金、配置资源、发现价格、管理风险等功能,保持公平公正、结构合理、安全规范</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9F046F1">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第三十九条 金融市场的交易组织形式和交易方式应当与市场功能定位、参与主体风险承受能力等相匹配,符合法律、行政法规和国务院金融管理部门的规定</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80747BC">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金融产品交易场所为金融产品交易提供场所、设施和相关服务,组织和监督交易开展</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未经国务院或者国务院金融管理部门批准,任何单位和个人不得设立金融产品交易场所,不得以任何形式组织金融产品的集中交易及相关活动</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F46DE05">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在金融产品交易场所外从事金融产品交易及相关活动的,应当根据产品性质、定位、风险程度等,采取相适应的定价、交易和清算方式,不得违反法律、行政法规和国务院金融管理部门的规定</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1CDDB38">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第四十条 金融市场参与主体从事金融活动,应当遵守法律、行政法规和国务院金融管理部门的规定以及金融产品交易场所依法制定的业务规则</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490F296">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禁止从事欺诈、内幕交易、操纵市场、财务造假以及法律、行政法规和国务院金融管理部门规定的其他禁止性行为</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8BA8D09">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第四十一条 金融市场参与主体从事金融活动,应当依照法律、行政法规和国务院金融管理部门的规定,履行信息披露义务</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披露的信息应当真实、准确、完整,简明清晰,通俗易懂, 不得存在虚假记载、误导性陈述或者重大遗漏</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CEBBA9E">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任何单位和个人不得编造、传播虚假信息或者误导性信息, 扰乱金融市场秩序</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85C56D5">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第四十二条 国家加强金融市场风险监测,建立健全金融市场风险快速反应机制,稳妥应对市场异常波动、市场恐慌、流动性枯竭等重大风险</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9963998">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第四十三条 国务院金融管理部门和其他有关部门应当加强预期管理和政策统筹,开展金融领域重大政策影响评估,协调重大信息发布,依法处置虚假信息或者误导性信息</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9B93185">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第四十四条 符合规定的企业可以申请发行股票或者存托凭证,并在依法设立的证券交易所上市交易</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40EAC34">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上市公司应当依法、合规、诚信经营,建立健全公司治理机制</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上市公司的控股股东、实际控制人、董事、高级管理人员等不得滥用股东权利或者控制地位,或者滥用经营管理权,损害上市公司及其股东等相关利益主体的合法权益</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09472C4">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上市公司及其控股股东、实际控制人、董事、高级管理人员等存在虚假陈述、内幕交易、操纵市场或者其他损害投资者合法权益行为,致使投资者遭受损失的,依法承担赔偿责任</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A7C3677">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第六章 金融基础设施 </w:t>
      </w:r>
    </w:p>
    <w:p w14:paraId="634BC0FB">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第四十五条 国家统筹规划金融基础设施,统一金融市场登记托管、清算结算规则制度</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0A1055F">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本法所称金融基础设施,是指符合法律、行政法规和国务院金融管理部门规定的,为金融活动提供登记、存管、托管、交易、支付、清算、结算等基础性公共服务的多边系统或者设施</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7DDB204">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第四十六条 金融基础设施运营主体应当经国务院批准设立,依法办理登记</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C465EB5">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第四十七条 金融基础设施运营主体应当坚持公共利益优先,依法制定业务规则,完善治理结构,建立健全风险管理制度,建设安全规范高效的技术系统与设施,强化金融信息与数据安全管理,保障金融基础设施安全稳定运行</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E534DD6">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第四十八条 金融基础设施作为中央对手方时,集中清算、结算的财产具有独立性,不得被查封、冻结、扣押或者强制执行,依法开展的集中清算、结算不因任何参与方进入破产程序而中止、无效或者撤销</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075A3A4">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第四十九条 任何单位和个人不得实施非法侵入、干扰、破坏金融基础设施的活动,不得危害金融基础设施安全</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9C658F6">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第七章 金融监管 </w:t>
      </w:r>
    </w:p>
    <w:p w14:paraId="7082CCC5">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第五十条 对金融活动依法实施监督管理</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对同类金融活动制定和执行一致的监管标准,规范金融活动,防范金融风险,保护金融消费者、投资者合法权益</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E51B398">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第五十一条 国务院金融管理部门按照实质重于形式的原则,按职责依法对金融活动实施监督管理和行业统计监测</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国务院金融管理部门可以授权派出机构、分支机构、直属行政机构履行监管职责</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043A5AC">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地方承担金融管理职责的机构,依法对地方金融组织及相关活动实施监督管理,维护辖区金融稳定</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EAEF635">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对需要进一步明确监管责任主体的,由国家确定的国务院金融管理部门牵头建立监管责任归属认领机制,建立健全兜底监管机制</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7F2A91D">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第五十二条 国务院金融管理部门根据法律、行政法规和国务院的决定、命令制定金融监管规章</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332E2F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因金融监管的需要,确需立即实施行政许可的事项,尚未制定法律、行政法规的,国务院金融管理部门可以提请国务院采用发布决定的方式设定临时性行政许可</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CA53723">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第五十三条 国务院金融管理部门完善金融消费者、投资者权益保护体制机制,加强金融消费者、投资者教育,加大保护力度</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763CB1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第五十四条 国务院金融管理部门在职责范围内可以对下列单位和个人实施监督管理,并根据监督管理需要,按照法定权限和程序开展检查、调查和处理: </w:t>
      </w:r>
    </w:p>
    <w:p w14:paraId="4A4655D2">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(一)金融机构; </w:t>
      </w:r>
    </w:p>
    <w:p w14:paraId="08404E0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(二)金融机构的董事、高级管理人员以及其他工作人员; </w:t>
      </w:r>
    </w:p>
    <w:p w14:paraId="2A924E3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(三)金融机构的实际控制人、股东及其实际控制人; </w:t>
      </w:r>
    </w:p>
    <w:p w14:paraId="19AF22FB">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(四)金融机构实际控制的企业; </w:t>
      </w:r>
    </w:p>
    <w:p w14:paraId="217C78BD">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(五)上市公司及其股东、实际控制人、董事、高级管理人 </w:t>
      </w:r>
    </w:p>
    <w:p w14:paraId="1B761142">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员,上市公司实际控制的企业; </w:t>
      </w:r>
    </w:p>
    <w:p w14:paraId="25D01B0D">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(六)法律、行政法规规定的其他单位和个人</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891AA67">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国务院金融管理部门对第三方服务机构及其有关人员为金融活动提供服务实施监督管理,并根据监督管理需要,会同行业主管部门按照法定权限和程序开展检查、调查和处理</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78AB592">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第五十五条 国务院金融管理部门依法履行职责,有权按照法定程序采取下列措施: </w:t>
      </w:r>
    </w:p>
    <w:p w14:paraId="5052C922">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(一)进入涉嫌违法行为发生场所调查取证; </w:t>
      </w:r>
    </w:p>
    <w:p w14:paraId="5B77C9B2">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(二)询问与被检查、调查事项有关的单位和个人,或者要求其按照指定的方式报送有关文件、资料; </w:t>
      </w:r>
    </w:p>
    <w:p w14:paraId="137969C8">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(三)查阅、复制与被检查、调查事项有关的文件、资料, 对可能被转移、隐匿或者毁损的文件、资料予以封存、扣押; </w:t>
      </w:r>
    </w:p>
    <w:p w14:paraId="743B2BC5">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(四)查阅、复制与被检查、调查事项有关的财产权登记、通讯记录等文件、资料; </w:t>
      </w:r>
    </w:p>
    <w:p w14:paraId="527792AC">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(五)检查运用电子计算机管理业务数据的系统; </w:t>
      </w:r>
    </w:p>
    <w:p w14:paraId="67CE052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六)查询与被检查、调查事项相关的单位和个人的资金账户、证券账户、银行账户以及其他具有支付、托管、结算等功能的账户信息,可以对有关文件、资料进行复制;对有证据证明已经或者可能转移、隐匿违法资金、证券等涉案财产或者隐匿、伪造、毁损重要证据的,可以冻结或者查封; </w:t>
      </w:r>
    </w:p>
    <w:p w14:paraId="1BD8E243">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(七)对造成金融风险或者出境可能影响案件查处的涉嫌违法人员、涉嫌违法单位的主管人员和其他直接责任人员,决定不准出境,并通知移民管理机构依法执行; </w:t>
      </w:r>
    </w:p>
    <w:p w14:paraId="1BA4D51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(八)法律、行政法规规定的其他措施</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DC2C7F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第五十六条 国务院金融管理部门对违反法律、行政法规和国务院金融管理部门规定的单位和个人,可以区别情形,按照法定程序采取下列措施: </w:t>
      </w:r>
    </w:p>
    <w:p w14:paraId="76D52F3F">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(一)责令改正; </w:t>
      </w:r>
    </w:p>
    <w:p w14:paraId="1380EE1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(二)限制或者暂停部分或者全部业务,停止批准开办新业务,停止批准增设分支机构,一定期限内暂不受理行政许可申请; </w:t>
      </w:r>
    </w:p>
    <w:p w14:paraId="2B8D9DA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(三)限制分配或者限制向有关股东分配红利,限制向董事、高级管理人员、其他直接责任人员支付报酬、提供福利; </w:t>
      </w:r>
    </w:p>
    <w:p w14:paraId="5A6AD41C">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(四)限制财产、资产转让,限制重要资本性支出或者在财产上设定其他权利; </w:t>
      </w:r>
    </w:p>
    <w:p w14:paraId="0B0B1C98">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(五)限制或者要求降低风险资产的规模; </w:t>
      </w:r>
    </w:p>
    <w:p w14:paraId="07033194">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(六)限制资金运用的形式、比例; </w:t>
      </w:r>
    </w:p>
    <w:p w14:paraId="2E36B753">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(七)调整监管指标要求; </w:t>
      </w:r>
    </w:p>
    <w:p w14:paraId="522FA021">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(八)责令转让资产、业务; </w:t>
      </w:r>
    </w:p>
    <w:p w14:paraId="477954E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(九)责令主要股东补充金融机构资本; </w:t>
      </w:r>
    </w:p>
    <w:p w14:paraId="76A853A5">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(十)责令负有责任的股东限期转让股权、退回一定期限内分配的红利或者限制其股东权利; </w:t>
      </w:r>
    </w:p>
    <w:p w14:paraId="0E000EF7">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(十一)责令金融机构对直接负责的董事、高级管理人员和其他直接责任人员给予处分; </w:t>
      </w:r>
    </w:p>
    <w:p w14:paraId="64F63DC7">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(十二)认定负有责任的股东、董事、高级管理人员和其他直接责任人员为不适当人选或者取消其资格; </w:t>
      </w:r>
    </w:p>
    <w:p w14:paraId="4E2FB64E">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(十三)责令调整董事、高级管理人员、其他直接责任人员或者限制其权利,或者追索扣回一定期限内的报酬、福利; </w:t>
      </w:r>
    </w:p>
    <w:p w14:paraId="7301DF94">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(十四)责令选聘会计师事务所对金融机构财务和经营状况开展专项审计; </w:t>
      </w:r>
    </w:p>
    <w:p w14:paraId="4B95C309">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(十五)国务院金融管理部门依照法律、行政法规设定的其他措施</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E67A4D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相关单位和个人整改后,应当向国务院金融管理部门提交报告</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国务院金融管理部门予以验收,并按照规定解除对其采取的前款规定的措施</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6BCF42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第一款规定的股东、实际控制人按照要求改正违法行为、转让股权前,国务院金融管理部门可以限制其股东权利</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067EEEB">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对涉嫌犯罪的,依法移送公安机关</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DF52C5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第五十七条 国务院金融管理部门采取监管措施或者作出处罚决定后,金融机构股东、实际控制人未在规定期限内完成股权转让、退回红利,董事、高级管理人员、其他直接责任人员未在规定期限内退回报酬、福利的,国务院金融管理部门可以申请人民法院强制执行</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5E5AD29">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第五十八条 国务院金融管理部门及其工作人员依法履行职责,受法律保护,被监管的单位和个人应当配合,如实提供有关文件、资料,不得拒绝、阻碍和隐瞒</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国务院金融管理部门及其工作人员履职行为不符合法律、行政法规和国务院金融管理部门规定的,被监管的单位和个人有权拒绝</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F740F6D">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国务院金融管理部门依法制定并执行日常监管、检查、调查、行政处罚等履职规范,保护被监管单位和个人的合法权益</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45C0CB2">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国家建立举报人奖励、保护制度</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任何单位和个人有权向国务院金融管理部门举报涉嫌金融违法违规行为</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30019B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第五十九条 国务院金融管理部门、国务院行业主管部门和其他有关部门加强监管协同和信息共享,防范监管套利,消除监管空白</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0AD828B">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国务院行业主管部门履行本行业、本领域风险管理责任,防范行业风险引发金融风险</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6A1550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国务院金融管理部门与公安、国家安全、司法等机关加强线索移送、信息共享等工作衔接,依法打击金融违法犯罪活动,维护国家金融安全</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795539B">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第六十条 国家建立健全中央和地方金融工作协调机制,统筹信息通报、风险监测、执法协作等工作</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国务院金融管理部门统一制定地方金融组织的监管规则,指导、监督地方执行</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F85F466">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第六十一条 国家强化金融监管力量,加强预算保障,加强监管人才专业队伍建设,支持运用信息技术改进监管方式,提升监管效率和水平</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3FACE7F">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第六十二条 国家加强金融腐败预防惩治,建立健全金融监管监督问责制度机制,对不履行或者不正确履行监管职责的,依法追责问责,强化权力运行制约和监督</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A65EED5">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金融管理部门、行业主管部门和其他有关部门的工作人员, 在履行金融工作职责或者涉金融领域相关工作职责中,存在失职失责行为,造成重大损失、严重后果或者恶劣影响的,应当依法依规对负有责任的领导人员和直接责任人员进行追责问责;涉嫌违法犯罪的,依法予以处理</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A495D07">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第六十三条 金融行业自律组织依法对本行业、本领域开展自律管理,依法制定自律管理规则并报国务院金融管理部门批准或者备案</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42074E6">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国务院金融管理部门应当加强对相关自律组织的指导、监督和问责</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387D759">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第八章 金融风险处置 </w:t>
      </w:r>
    </w:p>
    <w:p w14:paraId="7ADEF8BD">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第六十四条 金融风险处置应当坚持市场化、法治化原则,明确风险处置责任分工,完善风险处置措施,强化风险处置资源保障,有效化解处置金融风险,守住不发生系统性金融风险的底线</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6025135">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第六十五条 金融机构违法经营、公司治理混乱、管理失控或者出现重大风险等,已经或者可能危及持续经营、危害金融秩序的,国务院金融管理部门可以促成其重组,或者依照法律、行政法规的规定对其作出接管、托管、撤销等决定</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金融机构有法律规定的破产情形的,国务院金融管理部门可以向人民法院提出对该金融机构进行重整或者破产清算的申请</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C7B4FBD">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国务院金融管理部门应当建立健全强制性早期纠正制度,责令相关金融机构限期整改,并可以区别情形采取本法第五十六条规定的措施;整改不到位的,依照本法第六十六条责任分工及时对其实施风险处置</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960662E">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法律、行政法规授权的机构可以依法采取相关早期纠正措施</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55811EF">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第六十六条 全国性银行、证券基金期货经营机构、中央金融企业及其控股金融机构的风险处置,由国务院金融管理部门牵头组织实施</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地方中小金融机构、地方金融控股公司、地方金融组织的风险处置,由其注册地所在省、自治区、直辖市等省级地方牵头组织实施,国务院金融管理部门加强指导和跨区域协调, 按职责推动风险化解</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7020296">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前款规定以外的其他金融机构、私募投资基金管理机构的风险处置,由其注册地所在省级地方会同国务院金融管理部门组织实施</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A3345A8">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非金融企业涉及金融风险的,由其注册地所在省级地方和国务院行业主管部门承担处置责任,国务院金融管理部门配合</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1BB1DC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中国人民银行牵头负责系统性金融风险的防范化解和处置</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D9EB9ED">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国务院财政部门依法参与处置系统性金融风险,并按照规定履行相关职责</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40E6B6C">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第六十七条 国务院金融管理部门可以区别情形采取下列措施实施风险处置: </w:t>
      </w:r>
    </w:p>
    <w:p w14:paraId="4C406AE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(一)本法第五十六条规定的措施; </w:t>
      </w:r>
    </w:p>
    <w:p w14:paraId="366986A7">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(二)成立或者指定托管人、接管组织行使被处置金融机构的经营管理权; </w:t>
      </w:r>
    </w:p>
    <w:p w14:paraId="78F99504">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(三)处置资产和负债; </w:t>
      </w:r>
    </w:p>
    <w:p w14:paraId="50714F02">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(四)暂停、限制或者终止部分或者全部金融交易; </w:t>
      </w:r>
    </w:p>
    <w:p w14:paraId="343C4723">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(五)撤销业务许可; </w:t>
      </w:r>
    </w:p>
    <w:p w14:paraId="3787A5BD">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(六)撤销分支机构; </w:t>
      </w:r>
    </w:p>
    <w:p w14:paraId="1572B5F2">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(七)促成第三方机构或者设立临时过渡机构承接被处置金融机构的部分或者全部业务、资产和负债; </w:t>
      </w:r>
    </w:p>
    <w:p w14:paraId="1409DA32">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(八)暂停合格金融交易项下提前终止合约的权利,最长不超过四十八小时; </w:t>
      </w:r>
    </w:p>
    <w:p w14:paraId="36158471">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(九)被处置金融机构符合国务院金融管理部门规定条件的,实施股权、债权减记或者债转股; </w:t>
      </w:r>
    </w:p>
    <w:p w14:paraId="72E85C79">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(十)风险处置过程中发现可能引发系统性金融风险的,可以强制转让股权; </w:t>
      </w:r>
    </w:p>
    <w:p w14:paraId="0B09FB72">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(十一)要求被处置金融机构按照规定调回境外资产; </w:t>
      </w:r>
    </w:p>
    <w:p w14:paraId="30EA0E61">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(十二)处置系统重要性金融机构风险的,要求所属集团的境内外机构提供必要支持,维持关键金融服务和功能不中断; </w:t>
      </w:r>
    </w:p>
    <w:p w14:paraId="2ABDA574">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(十三)法律、行政法规规定以及国务院批准的其他处置措施</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4DAC7B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采取前款规定的措施,可以按照规定豁免适用法律、行政法规有关股东会、董事会批准,债权人等第三方同意的相关规定,以及信息披露、禁止性交易的相关规定</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B0211A4">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由省级地方牵头组织实施地方金融组织风险处置的,可以采取第一款规定的处置措施</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F2D7AC3">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由省级地方牵头组织实施地方中小金融机构、地方金融控股公司风险处置,国务院金融管理部门进行指导和跨区域协调的,或者由省级地方会同国务院金融管理部门组织实施其他金融机构、私募投资基金管理机构风险处置的,根据国务院金融管理部门的指导或者授权可以采取第一款规定的处置措施,或者建议国务院金融管理部门采取前述措施</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C3FF292">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国务院金融管理部门、省级地方依法采取金融风险处置措施,有关单位和个人应当配合,不得拒绝、阻碍和隐瞒</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FC8C87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第六十八条 金融机构、金融基础设施运营主体应当按照规定缴纳或者认购存款保险基金,保险、证券、信托等行业保障基金以及金融稳定保障基金 (以下统称金融稳定性基金)</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389AD0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中央金融工作决策议事协调机构统筹协调金融稳定性基金的管理使用</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5D6F4E8">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第六十九条 金融风险处置资金的使用应当坚持先内部救助、后外部救助的原则,相关机构的股东、实际控制人必须依法首先承担损失</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使用公共资源参与风险处置应当依法依规,国家建立健全动用公共资源处置金融风险的条件、标准和程序,并加强监督</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6AB2108">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被处置金融机构应当承担风险处置主体责任,穷尽自救手段,采取一切必要措施清理债权债务,挽回损失</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主要股东和实际控制人应当按照恢复和处置计划或者监管承诺补充资本,对金融风险负有责任的,依法承担赔偿责任,归还违规占用或者转移的资金、分配的红利</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3DFF886">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对危及区域稳定,且穷尽市场化手段仍难以化解风险的,省级地方应当依法协调自有资源予以应对</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存款保险基金管理机构和相关行业保障基金管理机构依法参与风险处置</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6C9399C">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重大金融风险严重危及金融稳定的,可以按照规定使用金融稳定保障基金</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5B4A06B">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中国人民银行依法履行最后贷款人职责</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F306CA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第七十条 国务院金融管理部门实施的金融风险处置,应当与司法处置程序有序衔接</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C624155">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根据国务院金融管理部门的申请,最高人民法院可以指定有关人民法院对以被处置金融机构及其关联人为当事人的民事诉讼案件进行集中管辖</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0F5A236">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根据国务院金融管理部门的申请,人民法院可以中止以被处置金融机构及其关联人为当事人的民事诉讼程序和以上述当事人的财产和股权为标的的民事执行程序</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根据被处置金融机构的申请,仲裁机构可以中止以该金融机构及其关联人的财产和股权为标的的商事仲裁程序</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EE31D36">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国务院金融管理部门实施的金融风险处置程序中,已经依法完成的资产核实、资产评估、资产保全、债权登记、财产处分等措施,人民法院经过审查后依法认定其效力</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ABC0BA8">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由省级地方牵头组织实施或者会同国务院金融管理部门组织实施金融风险处置的,参照前四款规定执行</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24FB6B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第七十一条 禁止任何形式的非法金融活动</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FE8B29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国务院金融管理部门、国务院行业主管部门、国务院其他有关部门和地方按照职责分工和实质重于形式的原则,负责对非法金融活动的防范和打击工作</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6901241">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国家确定的国务院金融管理部门牵头建立防范和打击非法金融活动工作协调机制,协调督促前款规定的国务院有关部门和地方依法开展防范和打击非法金融活动工作</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163DA9D">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县级以上地方应当建立健全防范和打击非法金融活动工作机制,省级地方统筹负责本行政区域内防范和打击非法金融活动工作</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4B01A62">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第七十二条 国务院金融管理部门、地方依照本法第七十一条规定的职责分工和国家有关规定,加强监测预警和风险排查,对发现的非法金融活动风险线索及时组织调查认定</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对性质认定存在争议的,逐级上报协调认定,直至防范和打击非法金融活动工作协调机制协调解决</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6454B5D">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第七十三条 国务院金融管理部门、国务院行业主管部门、国务院其他有关部门和地方应当依法及时调查处置非法金融活动,对涉嫌犯罪的,依法移送公安机关</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CA751D3">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国务院金融管理部门、国务院行业主管部门、国务院其他有关部门和地方依法对涉嫌非法金融活动进行检查、调查,有关单位和个人应当配合,不得拒绝、阻碍和隐瞒</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FC6F439">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第九章 金融发展与安全 </w:t>
      </w:r>
    </w:p>
    <w:p w14:paraId="49DAC851">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第七十四条 国家鼓励发展科技金融、绿色金融、普惠金融、养老金融和数字金融,引导金融资源投向国家重大战略、重点领域和薄弱环节,服务经济社会高质量发展</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1F6AD58">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第七十五条 持续完善金融支持中小微企业的政策,引导金融机构平等对待各类经营主体</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91FF58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第七十六条 引导金融机构优化结构、专注主业、规范经营,树立正确的经营观、业绩观、风险观,提高竞争力,增强服务实体经济能力</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A59EB0F">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第七十七条 建设完善安全、规范、透明、开放、有活力、有韧性的资本市场,推动投资和融资协调发展,支持中长期资金入市,增强资本市场内在稳定性</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644BB07">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支持符合规定的企业依法上市,加强对上市公司的监督管理,健全上市公司退出机制,优化上市公司质量和结构</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8D29D39">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第七十八条 加强金融政策与财政、就业、产业等政策的协调配合,提高政策整体效能</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59936D2">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第七十九条 推进金融领域信用体系建设,建立健全金融领域严重失信主体名单管理制度,营造良好信用环境</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79D556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第八十条 培育高素质专业化的金融人才队伍,引导金融从业人员恪守职业道德和行业规范</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F86613D">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第八十一条 推动金融高水平对外开放,稳步扩大金融领域制度型开放,加强本外币一体化管理,提升跨境贸易和投融资便利化水平,构建互利共赢、多元平衡、安全高效的金融开放体系</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8385071">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第八十二条 国家加强金融领域双边多边交流合作,参与全球金融治理,加强宏观金融政策协调,推进货币和金融监管合作,增进互信互惠</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2FB146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第八十三条 国家提高开放条件下金融安全保障能力</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606CB27">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促进跨境资金依法有序流动,防范应对跨境资金违法违规流动风险</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5B5A73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建立健全境外金融资产安全保护体系,加强安全保护能力建设,维护境外金融资产安全</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61014F7">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建立健全金融网络安全保护和金融数据分类分级保护制度,对影响或者可能影响国家安全的金融数据处理活动进行国家安全审查</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2264B89">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第八十四条 国家健全反洗钱监管制度,预防和遏制洗钱</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贪污腐败、恐怖主义融资以及相关犯罪活动,维护国家安全、公共利益和金融秩序</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2A499AB">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第八十五条 任何国家、地区或者国际组织违反国际法和国际关系基本准则,在金融领域对我国公民、组织采取歧视性的禁止、限制或者其他类似措施的,我国有权依法采取相应反制措施</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E36D19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任何国家、地区或者国际组织违反国际法和国际关系基本准则,危害我国金融安全的,我国有权对该国家、地区或者国际组织采取制裁措施</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CE3A31F">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外国法律与措施的域外适用违反国际法和国际关系基本准则,不当禁止或者限制我国公民、组织与该国之外的国家或者地区及其公民、组织开展正常金融活动的,我国有权依法采取措施阻断外国法律与措施不当域外适用</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232303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任何组织和个人均不得执行或者协助执行外国国家、地区或者国际组织在金融领域对我国公民、组织采取的歧视性限制措施,不得在金融活动中实施、协助、支持危害我国主权、安全、发展利益的行为</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28A907C">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第十章 法律责任 </w:t>
      </w:r>
    </w:p>
    <w:p w14:paraId="0129F4F3">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第八十六条 任何单位和个人不得从金融违法活动中获取利益,如有违法所得,除依法退赔的外,应当予以没收</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205352F">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有关单位和个人违反本法的同一规定实施多次独立的金融违法行为,可以对金融违法行为逐次计算处罚金额</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2DE740E">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第八十七条 违反本法规定的,由国务院金融管理部门或者法律、行政法规规定的其他单位责令改正,没收违法所得,并处以罚款;情节特别严重的,可以依照本法并处上一年度营业额百分之五以下或者交易额等值以下的罚款,责令暂停或者禁止从事相关业务,停业整顿或者吊销金融许可证</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对直接负责的主管人员和其他直接责任人员给予警告、通报批评,并处以罚款</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具体情形及处罚措施由相关法律、行政法规规定</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509F14E">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组织、指使他人实施金融违法行为,或者为他人实施金融违法行为提供协助或者给予便利的,由国务院金融管理部门或者法律、行政法规规定的其他单位责令改正,并在前款规定的处罚种类和幅度内,根据违法情节和危害后果给予处罚</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272C0E5">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违反法律、行政法规的规定,情节严重的,国务院金融管理部门可以对有关责任人员,取消一定期限直至终身的任职资格,禁止一定期限直至终身进入金融相应行业;情节特别严重的,禁止一定期限直至终身进入金融行业,或者一定期限直至终身不得从事特定金融活动</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105E33F">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第八十八条 违法行为人逃避或者变相逃避行政处罚,未按照规定缴纳罚款、违法所得、滞纳金,情节严重的,禁止一定期限直至终身进入金融相应行业</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698D86B">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第八十九条 违反本法规定,给他人造成损害的,依法承担民事责任</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D1648D8">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违反本法规定应当承担民事赔偿责任和缴纳罚款、罚金、违法所得,违法行为人的财产不足以支付的,应当优先用于承担民事赔偿责任</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61B278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投资者、投资者保护机构可以依照有关法律规定代表具有同一种类诉讼标的的其他投资者提起诉讼,人民法院作出的判决</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裁定,依法适用于原告及其所代表的所有投资者,但明确表示不参与或者退出诉讼程序的投资者除外</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DC2190F">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第九十条 违反本法规定,构成违反治安管理行为的,依法给予治安管理处罚;构成犯罪的,依法追究刑事责任</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997D4D6">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第十一章 附 则 </w:t>
      </w:r>
    </w:p>
    <w:p w14:paraId="27A71F13">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第九十一条 本法下列用语的含义: </w:t>
      </w:r>
    </w:p>
    <w:p w14:paraId="6A8DC59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(一)金融管理部门,包括国务院金融管理部门和地方承担金融管理职责的机构</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9FDD601">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(二)地方中小金融机构,是指依照法律、行政法规和国务院金融管理部门规定,开展金融业务有区域限制的金融机构,中央金融企业控股的金融机构除外</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2FDCC22">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(三)其他金融机构,是指全国性银行、证券基金期货经营机构、中央金融企业及其控股金融机构以外的,依照法律、行政法规和国务院金融管理部门规定在全国范围内开展金融业务的金融机构</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58365D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四)地方金融组织,是指依法设立的小额贷款公司、融资担保公司、区域性股权市场、典当行、融资租赁公司、商业保理公司、地方资产管理公司以及法律、行政法规规定和国务院授权省级人民政府监督管理的从事金融业务的其他组织</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7514AA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(五)金融行业自律组织,是指金融领域的行业协会、金融产品交易场所、登记结算机构等实施自律管理的组织</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AFC2947">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(六)主要股东,是指持有金融机构资本总额或者股本总额百分之五以上,或者不足百分之五但对金融机构经营管理有重大影响的股东</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016DAC1">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(七)实际控制人,是指通过投资关系、协议或者其他安排,能够实际支配相关机构、公司行为的人</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DC1012C">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(八)第三方服务机构,是指会计师事务所、律师事务所、评估评级机构、信息技术服务机构等法律、行政法规和国务院金融管理部门规定的为金融活动提供服务的机构</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0D39A28">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(九)征信,是指在金融领域对企业、事业单位等组织的信用信息和个人的信用信息进行采集、整理、保存、加工,并向信息使用者提供的活动</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A3DD7EE">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第九十二条 在中华人民共和国境外从事本法第三条规定的金融活动,危害中华人民共和国国家金融安全,扰乱境内金融秩序,损害公民和境内组织合法权益的,依法承担法律责任</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00498D8">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第九十三条 在中华人民共和国境内设立的中外合资金融机构、外资独资金融机构、外国金融机构的分支机构适用本法,其他法律、行政法规另有规定的,适用其规定</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4A35644">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政策性金融机构适用本法,私募投资基金、地方金融组织参照适用本法,其他法律、行政法规或者国务院另有规定的,适用其规定</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EE02CD3">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经批准经营个人本外币兑换特许业务的机构,不适用本法关于金融机构的规定</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EB27BDC">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第九十四条 金融领域其他法律、行政法规与本法规定不一致的,适用本法</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本法未作规定的,适用金融领域其他法律、行政法规的规定</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6F1C2B7">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第九十五条 本法自</w:t>
      </w:r>
      <w:r>
        <w:rPr>
          <w:rFonts w:hint="eastAsia" w:cs="微软雅黑"/>
          <w:color w:val="2C2C2C"/>
          <w:sz w:val="24"/>
          <w:szCs w:val="24"/>
          <w:lang w:val="en-US" w:eastAsia="zh-CN"/>
        </w:rPr>
        <w:t xml:space="preserve">   </w:t>
      </w:r>
      <w:r>
        <w:rPr>
          <w:rFonts w:hint="default" w:ascii="微软雅黑" w:hAnsi="微软雅黑" w:eastAsia="微软雅黑" w:cs="微软雅黑"/>
          <w:color w:val="2C2C2C"/>
          <w:sz w:val="24"/>
          <w:szCs w:val="24"/>
          <w:lang w:val="en-US" w:eastAsia="zh-CN"/>
        </w:rPr>
        <w:t>年</w:t>
      </w:r>
      <w:r>
        <w:rPr>
          <w:rFonts w:hint="eastAsia" w:cs="微软雅黑"/>
          <w:color w:val="2C2C2C"/>
          <w:sz w:val="24"/>
          <w:szCs w:val="24"/>
          <w:lang w:val="en-US" w:eastAsia="zh-CN"/>
        </w:rPr>
        <w:t xml:space="preserve">   </w:t>
      </w:r>
      <w:r>
        <w:rPr>
          <w:rFonts w:hint="default" w:ascii="微软雅黑" w:hAnsi="微软雅黑" w:eastAsia="微软雅黑" w:cs="微软雅黑"/>
          <w:color w:val="2C2C2C"/>
          <w:sz w:val="24"/>
          <w:szCs w:val="24"/>
          <w:lang w:val="en-US" w:eastAsia="zh-CN"/>
        </w:rPr>
        <w:t>月</w:t>
      </w:r>
      <w:r>
        <w:rPr>
          <w:rFonts w:hint="eastAsia" w:cs="微软雅黑"/>
          <w:color w:val="2C2C2C"/>
          <w:sz w:val="24"/>
          <w:szCs w:val="24"/>
          <w:lang w:val="en-US" w:eastAsia="zh-CN"/>
        </w:rPr>
        <w:t xml:space="preserve">   </w:t>
      </w:r>
      <w:r>
        <w:rPr>
          <w:rFonts w:hint="default" w:ascii="微软雅黑" w:hAnsi="微软雅黑" w:eastAsia="微软雅黑" w:cs="微软雅黑"/>
          <w:color w:val="2C2C2C"/>
          <w:sz w:val="24"/>
          <w:szCs w:val="24"/>
          <w:lang w:val="en-US" w:eastAsia="zh-CN"/>
        </w:rPr>
        <w:t>日起施行</w:t>
      </w:r>
      <w:r>
        <w:rPr>
          <w:rFonts w:hint="eastAsia" w:cs="微软雅黑"/>
          <w:color w:val="2C2C2C"/>
          <w:sz w:val="24"/>
          <w:szCs w:val="24"/>
          <w:lang w:val="en-US" w:eastAsia="zh-CN"/>
        </w:rPr>
        <w:t>。</w:t>
      </w:r>
    </w:p>
    <w:p w14:paraId="4159A916">
      <w:pPr>
        <w:spacing w:after="120" w:line="360" w:lineRule="auto"/>
        <w:ind w:firstLine="480"/>
        <w:rPr>
          <w:rFonts w:hint="default" w:cs="微软雅黑"/>
          <w:color w:val="2C2C2C"/>
          <w:sz w:val="21"/>
          <w:szCs w:val="21"/>
          <w:highlight w:val="yellow"/>
          <w:lang w:val="en-US" w:eastAsia="zh-CN"/>
        </w:rPr>
      </w:pPr>
    </w:p>
    <w:p w14:paraId="25E0AE3E">
      <w:pPr>
        <w:spacing w:after="120" w:line="360" w:lineRule="auto"/>
        <w:ind w:firstLine="480"/>
        <w:rPr>
          <w:rFonts w:hint="default" w:cs="微软雅黑"/>
          <w:color w:val="2C2C2C"/>
          <w:sz w:val="21"/>
          <w:szCs w:val="21"/>
          <w:highlight w:val="yellow"/>
          <w:lang w:val="en-US" w:eastAsia="zh-CN"/>
        </w:rPr>
      </w:pPr>
    </w:p>
    <w:p w14:paraId="67FDB380">
      <w:pPr>
        <w:pStyle w:val="4"/>
        <w:keepNext/>
        <w:keepLines/>
        <w:spacing w:before="400" w:after="200"/>
      </w:pPr>
      <w:r>
        <w:rPr>
          <w:rFonts w:ascii="黑体" w:hAnsi="黑体" w:eastAsia="黑体" w:cs="黑体"/>
          <w:b/>
          <w:bCs/>
          <w:color w:val="1B3A5C"/>
          <w:sz w:val="26"/>
          <w:szCs w:val="26"/>
        </w:rPr>
        <w:t>草案核心制度</w:t>
      </w:r>
    </w:p>
    <w:p w14:paraId="0C19073A">
      <w:pPr>
        <w:spacing w:after="120" w:line="360" w:lineRule="auto"/>
        <w:ind w:firstLine="480"/>
        <w:rPr>
          <w:sz w:val="24"/>
          <w:szCs w:val="24"/>
        </w:rPr>
      </w:pPr>
      <w:r>
        <w:rPr>
          <w:rFonts w:ascii="微软雅黑" w:hAnsi="微软雅黑" w:eastAsia="微软雅黑" w:cs="微软雅黑"/>
          <w:color w:val="2C2C2C"/>
          <w:sz w:val="24"/>
          <w:szCs w:val="24"/>
        </w:rPr>
        <w:t>1</w:t>
      </w:r>
      <w:r>
        <w:rPr>
          <w:rFonts w:hint="eastAsia" w:cs="微软雅黑"/>
          <w:color w:val="2C2C2C"/>
          <w:sz w:val="24"/>
          <w:szCs w:val="24"/>
          <w:lang w:eastAsia="zh-CN"/>
        </w:rPr>
        <w:t>.</w:t>
      </w:r>
      <w:r>
        <w:rPr>
          <w:rFonts w:ascii="微软雅黑" w:hAnsi="微软雅黑" w:eastAsia="微软雅黑" w:cs="微软雅黑"/>
          <w:color w:val="2C2C2C"/>
          <w:sz w:val="24"/>
          <w:szCs w:val="24"/>
        </w:rPr>
        <w:t>确立金融工作根本领导体制，首次在金融法律中明确"金融工作坚持中国共产党的领导"。</w:t>
      </w:r>
    </w:p>
    <w:p w14:paraId="5C7F9812">
      <w:pPr>
        <w:spacing w:after="120" w:line="360" w:lineRule="auto"/>
        <w:ind w:firstLine="480"/>
        <w:rPr>
          <w:sz w:val="24"/>
          <w:szCs w:val="24"/>
        </w:rPr>
      </w:pPr>
      <w:r>
        <w:rPr>
          <w:rFonts w:ascii="微软雅黑" w:hAnsi="微软雅黑" w:eastAsia="微软雅黑" w:cs="微软雅黑"/>
          <w:color w:val="2C2C2C"/>
          <w:sz w:val="24"/>
          <w:szCs w:val="24"/>
        </w:rPr>
        <w:t>2</w:t>
      </w:r>
      <w:r>
        <w:rPr>
          <w:rFonts w:hint="eastAsia" w:cs="微软雅黑"/>
          <w:color w:val="2C2C2C"/>
          <w:sz w:val="24"/>
          <w:szCs w:val="24"/>
          <w:lang w:eastAsia="zh-CN"/>
        </w:rPr>
        <w:t>.</w:t>
      </w:r>
      <w:r>
        <w:rPr>
          <w:rFonts w:ascii="微软雅黑" w:hAnsi="微软雅黑" w:eastAsia="微软雅黑" w:cs="微软雅黑"/>
          <w:color w:val="2C2C2C"/>
          <w:sz w:val="24"/>
          <w:szCs w:val="24"/>
        </w:rPr>
        <w:t xml:space="preserve"> 确立"五大监管"原则——机构监管、行为监管、功能监管、穿透式监管、持续监管，实现监管全覆盖。</w:t>
      </w:r>
    </w:p>
    <w:p w14:paraId="0C448310">
      <w:pPr>
        <w:spacing w:after="120" w:line="360" w:lineRule="auto"/>
        <w:ind w:firstLine="480"/>
        <w:rPr>
          <w:sz w:val="24"/>
          <w:szCs w:val="24"/>
        </w:rPr>
      </w:pPr>
      <w:r>
        <w:rPr>
          <w:rFonts w:ascii="微软雅黑" w:hAnsi="微软雅黑" w:eastAsia="微软雅黑" w:cs="微软雅黑"/>
          <w:color w:val="2C2C2C"/>
          <w:sz w:val="24"/>
          <w:szCs w:val="24"/>
        </w:rPr>
        <w:t>3</w:t>
      </w:r>
      <w:r>
        <w:rPr>
          <w:rFonts w:hint="eastAsia" w:cs="微软雅黑"/>
          <w:color w:val="2C2C2C"/>
          <w:sz w:val="24"/>
          <w:szCs w:val="24"/>
          <w:lang w:eastAsia="zh-CN"/>
        </w:rPr>
        <w:t>.</w:t>
      </w:r>
      <w:r>
        <w:rPr>
          <w:rFonts w:ascii="微软雅黑" w:hAnsi="微软雅黑" w:eastAsia="微软雅黑" w:cs="微软雅黑"/>
          <w:color w:val="2C2C2C"/>
          <w:sz w:val="24"/>
          <w:szCs w:val="24"/>
        </w:rPr>
        <w:t>严格金融机构准入与股东管理，禁止循环注资和抽逃出资，要求非金融企业控股金融机构需设立金融控股公司。</w:t>
      </w:r>
    </w:p>
    <w:p w14:paraId="11E53CF0">
      <w:pPr>
        <w:spacing w:after="120" w:line="360" w:lineRule="auto"/>
        <w:ind w:firstLine="480"/>
        <w:rPr>
          <w:sz w:val="24"/>
          <w:szCs w:val="24"/>
        </w:rPr>
      </w:pPr>
      <w:r>
        <w:rPr>
          <w:rFonts w:ascii="微软雅黑" w:hAnsi="微软雅黑" w:eastAsia="微软雅黑" w:cs="微软雅黑"/>
          <w:color w:val="2C2C2C"/>
          <w:sz w:val="24"/>
          <w:szCs w:val="24"/>
        </w:rPr>
        <w:t>4</w:t>
      </w:r>
      <w:r>
        <w:rPr>
          <w:rFonts w:hint="eastAsia" w:cs="微软雅黑"/>
          <w:color w:val="2C2C2C"/>
          <w:sz w:val="24"/>
          <w:szCs w:val="24"/>
          <w:lang w:eastAsia="zh-CN"/>
        </w:rPr>
        <w:t>.</w:t>
      </w:r>
      <w:r>
        <w:rPr>
          <w:rFonts w:ascii="微软雅黑" w:hAnsi="微软雅黑" w:eastAsia="微软雅黑" w:cs="微软雅黑"/>
          <w:color w:val="2C2C2C"/>
          <w:sz w:val="24"/>
          <w:szCs w:val="24"/>
        </w:rPr>
        <w:t xml:space="preserve"> 规范金融产品与服务营销，禁止嵌套规避监管，强化适当性管理和信息披露义务。</w:t>
      </w:r>
    </w:p>
    <w:p w14:paraId="37847199">
      <w:pPr>
        <w:spacing w:after="120" w:line="360" w:lineRule="auto"/>
        <w:ind w:firstLine="480"/>
        <w:rPr>
          <w:sz w:val="24"/>
          <w:szCs w:val="24"/>
        </w:rPr>
      </w:pPr>
      <w:r>
        <w:rPr>
          <w:rFonts w:ascii="微软雅黑" w:hAnsi="微软雅黑" w:eastAsia="微软雅黑" w:cs="微软雅黑"/>
          <w:color w:val="2C2C2C"/>
          <w:sz w:val="24"/>
          <w:szCs w:val="24"/>
        </w:rPr>
        <w:t>5</w:t>
      </w:r>
      <w:r>
        <w:rPr>
          <w:rFonts w:hint="eastAsia" w:cs="微软雅黑"/>
          <w:color w:val="2C2C2C"/>
          <w:sz w:val="24"/>
          <w:szCs w:val="24"/>
          <w:lang w:eastAsia="zh-CN"/>
        </w:rPr>
        <w:t>.</w:t>
      </w:r>
      <w:r>
        <w:rPr>
          <w:rFonts w:ascii="微软雅黑" w:hAnsi="微软雅黑" w:eastAsia="微软雅黑" w:cs="微软雅黑"/>
          <w:color w:val="2C2C2C"/>
          <w:sz w:val="24"/>
          <w:szCs w:val="24"/>
        </w:rPr>
        <w:t>构建市场化、法治化风险处置机制，建立金融稳定保障基金，确立"先内部救助、后外部救助"的资金使用原则。</w:t>
      </w:r>
    </w:p>
    <w:p w14:paraId="5FFCD0CA">
      <w:pPr>
        <w:spacing w:after="120" w:line="360" w:lineRule="auto"/>
        <w:ind w:firstLine="480"/>
        <w:rPr>
          <w:sz w:val="24"/>
          <w:szCs w:val="24"/>
        </w:rPr>
      </w:pPr>
      <w:r>
        <w:rPr>
          <w:rFonts w:ascii="微软雅黑" w:hAnsi="微软雅黑" w:eastAsia="微软雅黑" w:cs="微软雅黑"/>
          <w:color w:val="2C2C2C"/>
          <w:sz w:val="24"/>
          <w:szCs w:val="24"/>
        </w:rPr>
        <w:t>6</w:t>
      </w:r>
      <w:r>
        <w:rPr>
          <w:rFonts w:hint="eastAsia" w:cs="微软雅黑"/>
          <w:color w:val="2C2C2C"/>
          <w:sz w:val="24"/>
          <w:szCs w:val="24"/>
          <w:lang w:eastAsia="zh-CN"/>
        </w:rPr>
        <w:t>.</w:t>
      </w:r>
      <w:r>
        <w:rPr>
          <w:rFonts w:ascii="微软雅黑" w:hAnsi="微软雅黑" w:eastAsia="微软雅黑" w:cs="微软雅黑"/>
          <w:color w:val="2C2C2C"/>
          <w:sz w:val="24"/>
          <w:szCs w:val="24"/>
        </w:rPr>
        <w:t>强化法律责任，罚款可高达上一年度营业额5%，明确民事赔偿责任优先。</w:t>
      </w:r>
    </w:p>
    <w:p w14:paraId="0DD19B16">
      <w:pPr>
        <w:spacing w:after="120" w:line="360" w:lineRule="auto"/>
        <w:ind w:firstLine="480"/>
        <w:rPr>
          <w:rFonts w:ascii="微软雅黑" w:hAnsi="微软雅黑" w:eastAsia="微软雅黑" w:cs="微软雅黑"/>
          <w:color w:val="2C2C2C"/>
          <w:sz w:val="21"/>
          <w:szCs w:val="21"/>
        </w:rPr>
      </w:pPr>
    </w:p>
    <w:p w14:paraId="6A75DB3A">
      <w:pPr>
        <w:spacing w:after="120" w:line="360" w:lineRule="auto"/>
        <w:ind w:firstLine="480"/>
        <w:rPr>
          <w:rFonts w:ascii="微软雅黑" w:hAnsi="微软雅黑" w:eastAsia="微软雅黑" w:cs="微软雅黑"/>
          <w:color w:val="2C2C2C"/>
          <w:sz w:val="21"/>
          <w:szCs w:val="21"/>
        </w:rPr>
      </w:pPr>
    </w:p>
    <w:p w14:paraId="6E6D2346">
      <w:pPr>
        <w:spacing w:after="120" w:line="360" w:lineRule="auto"/>
        <w:rPr>
          <w:rFonts w:ascii="微软雅黑" w:hAnsi="微软雅黑" w:eastAsia="微软雅黑" w:cs="微软雅黑"/>
          <w:color w:val="2C2C2C"/>
          <w:sz w:val="21"/>
          <w:szCs w:val="21"/>
        </w:rPr>
      </w:pPr>
    </w:p>
    <w:p w14:paraId="02A3152D">
      <w:pPr>
        <w:spacing w:after="120" w:line="360" w:lineRule="auto"/>
        <w:rPr>
          <w:rFonts w:ascii="微软雅黑" w:hAnsi="微软雅黑" w:eastAsia="微软雅黑" w:cs="微软雅黑"/>
          <w:color w:val="2C2C2C"/>
          <w:sz w:val="21"/>
          <w:szCs w:val="21"/>
        </w:rPr>
      </w:pPr>
    </w:p>
    <w:p w14:paraId="693C0C40">
      <w:pPr>
        <w:spacing w:after="120" w:line="360" w:lineRule="auto"/>
        <w:rPr>
          <w:rFonts w:ascii="微软雅黑" w:hAnsi="微软雅黑" w:eastAsia="微软雅黑" w:cs="微软雅黑"/>
          <w:color w:val="2C2C2C"/>
          <w:sz w:val="21"/>
          <w:szCs w:val="21"/>
        </w:rPr>
      </w:pPr>
    </w:p>
    <w:p w14:paraId="632E2BCA">
      <w:pPr>
        <w:spacing w:after="120" w:line="360" w:lineRule="auto"/>
        <w:rPr>
          <w:rFonts w:ascii="微软雅黑" w:hAnsi="微软雅黑" w:eastAsia="微软雅黑" w:cs="微软雅黑"/>
          <w:color w:val="2C2C2C"/>
          <w:sz w:val="21"/>
          <w:szCs w:val="21"/>
        </w:rPr>
      </w:pPr>
    </w:p>
    <w:p w14:paraId="34A27C44">
      <w:pPr>
        <w:spacing w:after="120" w:line="360" w:lineRule="auto"/>
        <w:rPr>
          <w:rFonts w:ascii="微软雅黑" w:hAnsi="微软雅黑" w:eastAsia="微软雅黑" w:cs="微软雅黑"/>
          <w:color w:val="2C2C2C"/>
          <w:sz w:val="21"/>
          <w:szCs w:val="21"/>
        </w:rPr>
      </w:pPr>
    </w:p>
    <w:p w14:paraId="102E94C4">
      <w:pPr>
        <w:spacing w:after="120" w:line="360" w:lineRule="auto"/>
        <w:rPr>
          <w:rFonts w:ascii="微软雅黑" w:hAnsi="微软雅黑" w:eastAsia="微软雅黑" w:cs="微软雅黑"/>
          <w:color w:val="2C2C2C"/>
          <w:sz w:val="21"/>
          <w:szCs w:val="21"/>
        </w:rPr>
      </w:pPr>
    </w:p>
    <w:p w14:paraId="3A8921C9">
      <w:pPr>
        <w:pStyle w:val="3"/>
        <w:keepNext/>
        <w:keepLines/>
        <w:spacing w:before="400" w:after="200"/>
        <w:rPr>
          <w:rFonts w:ascii="黑体" w:hAnsi="黑体" w:eastAsia="黑体" w:cs="黑体"/>
          <w:b/>
          <w:bCs/>
          <w:color w:val="1B3A5C"/>
          <w:sz w:val="32"/>
          <w:szCs w:val="32"/>
        </w:rPr>
      </w:pPr>
      <w:bookmarkStart w:id="9" w:name="_toc_auto_14"/>
      <w:r>
        <w:rPr>
          <w:rFonts w:ascii="黑体" w:hAnsi="黑体" w:eastAsia="黑体" w:cs="黑体"/>
          <w:b/>
          <w:bCs/>
          <w:color w:val="1B3A5C"/>
          <w:sz w:val="32"/>
          <w:szCs w:val="32"/>
        </w:rPr>
        <w:t>（四）</w:t>
      </w:r>
      <w:r>
        <w:rPr>
          <w:rFonts w:hint="default" w:ascii="黑体" w:hAnsi="黑体" w:eastAsia="黑体" w:cs="黑体"/>
          <w:b/>
          <w:bCs/>
          <w:color w:val="1B3A5C"/>
          <w:sz w:val="32"/>
          <w:szCs w:val="32"/>
        </w:rPr>
        <w:t>《银行法（修订草案）》同步推进</w:t>
      </w:r>
    </w:p>
    <w:bookmarkEnd w:id="9"/>
    <w:p w14:paraId="0D4A87CD">
      <w:pPr>
        <w:spacing w:after="120" w:line="360" w:lineRule="auto"/>
        <w:ind w:firstLine="480"/>
        <w:rPr>
          <w:rFonts w:ascii="微软雅黑" w:hAnsi="微软雅黑" w:eastAsia="微软雅黑" w:cs="微软雅黑"/>
          <w:color w:val="2C2C2C"/>
          <w:sz w:val="24"/>
          <w:szCs w:val="24"/>
        </w:rPr>
      </w:pPr>
      <w:r>
        <w:rPr>
          <w:rFonts w:ascii="微软雅黑" w:hAnsi="微软雅黑" w:eastAsia="微软雅黑" w:cs="微软雅黑"/>
          <w:color w:val="2C2C2C"/>
          <w:sz w:val="24"/>
          <w:szCs w:val="24"/>
        </w:rPr>
        <w:t>2026年6月，金融监管总局局长在陆家嘴论坛明确表示"加快推动银监法修订出台"。银监法（即《银行业监督管理法》）的修订与金融法的制定同步推进，构成金融法治体系建设的重要一环。</w:t>
      </w:r>
    </w:p>
    <w:p w14:paraId="0DB8129C">
      <w:pPr>
        <w:spacing w:after="120" w:line="360" w:lineRule="auto"/>
        <w:jc w:val="center"/>
        <w:rPr>
          <w:rFonts w:ascii="微软雅黑" w:hAnsi="微软雅黑" w:eastAsia="微软雅黑" w:cs="微软雅黑"/>
          <w:color w:val="2C2C2C"/>
          <w:sz w:val="24"/>
          <w:szCs w:val="24"/>
        </w:rPr>
      </w:pPr>
      <w:r>
        <w:rPr>
          <w:rFonts w:ascii="微软雅黑" w:hAnsi="微软雅黑" w:eastAsia="微软雅黑" w:cs="微软雅黑"/>
          <w:color w:val="2C2C2C"/>
          <w:sz w:val="24"/>
          <w:szCs w:val="24"/>
          <w:lang w:val="en-US" w:eastAsia="zh-CN"/>
        </w:rPr>
        <w:t>中华人民共和国中国人民银行法(</w:t>
      </w:r>
      <w:r>
        <w:rPr>
          <w:rFonts w:hint="eastAsia" w:ascii="微软雅黑" w:hAnsi="微软雅黑" w:eastAsia="微软雅黑" w:cs="微软雅黑"/>
          <w:color w:val="2C2C2C"/>
          <w:sz w:val="24"/>
          <w:szCs w:val="24"/>
          <w:lang w:val="en-US" w:eastAsia="zh-CN"/>
        </w:rPr>
        <w:t>修订草案</w:t>
      </w:r>
      <w:r>
        <w:rPr>
          <w:rFonts w:hint="default" w:ascii="微软雅黑" w:hAnsi="微软雅黑" w:eastAsia="微软雅黑" w:cs="微软雅黑"/>
          <w:color w:val="2C2C2C"/>
          <w:sz w:val="24"/>
          <w:szCs w:val="24"/>
          <w:lang w:val="en-US" w:eastAsia="zh-CN"/>
        </w:rPr>
        <w:t>)</w:t>
      </w:r>
    </w:p>
    <w:p w14:paraId="6F98D9DC">
      <w:pPr>
        <w:spacing w:after="120" w:line="360" w:lineRule="auto"/>
        <w:ind w:firstLine="480" w:firstLineChars="20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第一章 总 则 </w:t>
      </w:r>
    </w:p>
    <w:p w14:paraId="388A09F4">
      <w:pPr>
        <w:spacing w:after="120" w:line="360" w:lineRule="auto"/>
        <w:ind w:firstLine="480"/>
        <w:rPr>
          <w:rFonts w:hint="default" w:ascii="微软雅黑" w:hAnsi="微软雅黑" w:eastAsia="微软雅黑" w:cs="微软雅黑"/>
          <w:color w:val="2C2C2C"/>
          <w:sz w:val="24"/>
          <w:szCs w:val="24"/>
          <w:lang w:val="en-US"/>
        </w:rPr>
      </w:pPr>
      <w:r>
        <w:rPr>
          <w:rFonts w:ascii="微软雅黑" w:hAnsi="微软雅黑" w:eastAsia="微软雅黑" w:cs="微软雅黑"/>
          <w:color w:val="2C2C2C"/>
          <w:sz w:val="24"/>
          <w:szCs w:val="24"/>
          <w:lang w:val="en-US" w:eastAsia="zh-CN"/>
        </w:rPr>
        <w:t>第一条</w:t>
      </w:r>
      <w:r>
        <w:rPr>
          <w:rFonts w:hint="eastAsia" w:cs="微软雅黑"/>
          <w:color w:val="2C2C2C"/>
          <w:sz w:val="24"/>
          <w:szCs w:val="24"/>
          <w:lang w:val="en-US" w:eastAsia="zh-CN"/>
        </w:rPr>
        <w:t xml:space="preserve"> </w:t>
      </w:r>
      <w:r>
        <w:rPr>
          <w:rFonts w:ascii="微软雅黑" w:hAnsi="微软雅黑" w:eastAsia="微软雅黑" w:cs="微软雅黑"/>
          <w:color w:val="2C2C2C"/>
          <w:sz w:val="24"/>
          <w:szCs w:val="24"/>
          <w:lang w:val="en-US" w:eastAsia="zh-CN"/>
        </w:rPr>
        <w:t>为了确立中国人民银行的地位</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明确其职责</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保证国家货币政策的正确制定和执行</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建立和完善中央银行宏观调控体系</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维护金融稳定</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制定本法</w:t>
      </w:r>
      <w:r>
        <w:rPr>
          <w:rFonts w:hint="eastAsia" w:cs="微软雅黑"/>
          <w:color w:val="2C2C2C"/>
          <w:sz w:val="24"/>
          <w:szCs w:val="24"/>
          <w:lang w:val="en-US" w:eastAsia="zh-CN"/>
        </w:rPr>
        <w:t>。</w:t>
      </w:r>
    </w:p>
    <w:p w14:paraId="604E25B3">
      <w:pPr>
        <w:spacing w:after="120" w:line="360" w:lineRule="auto"/>
        <w:ind w:firstLine="480"/>
        <w:rPr>
          <w:rFonts w:ascii="微软雅黑" w:hAnsi="微软雅黑" w:eastAsia="微软雅黑" w:cs="微软雅黑"/>
          <w:color w:val="2C2C2C"/>
          <w:sz w:val="24"/>
          <w:szCs w:val="24"/>
        </w:rPr>
      </w:pPr>
      <w:r>
        <w:rPr>
          <w:rFonts w:hint="default" w:ascii="微软雅黑" w:hAnsi="微软雅黑" w:eastAsia="微软雅黑" w:cs="微软雅黑"/>
          <w:color w:val="2C2C2C"/>
          <w:sz w:val="24"/>
          <w:szCs w:val="24"/>
          <w:lang w:val="en-US" w:eastAsia="zh-CN"/>
        </w:rPr>
        <w:t xml:space="preserve">第二条 </w:t>
      </w:r>
      <w:r>
        <w:rPr>
          <w:rFonts w:hint="eastAsia" w:ascii="微软雅黑" w:hAnsi="微软雅黑" w:eastAsia="微软雅黑" w:cs="微软雅黑"/>
          <w:color w:val="2C2C2C"/>
          <w:sz w:val="24"/>
          <w:szCs w:val="24"/>
          <w:lang w:val="en-US" w:eastAsia="zh-CN"/>
        </w:rPr>
        <w:t>中国人民银行是中华人民共和国的中央银行</w:t>
      </w:r>
      <w:r>
        <w:rPr>
          <w:rFonts w:hint="eastAsia" w:cs="微软雅黑"/>
          <w:color w:val="2C2C2C"/>
          <w:sz w:val="24"/>
          <w:szCs w:val="24"/>
          <w:lang w:val="en-US" w:eastAsia="zh-CN"/>
        </w:rPr>
        <w:t>。</w:t>
      </w:r>
    </w:p>
    <w:p w14:paraId="7EA6E59E">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中国人民银行坚持党中央对金融工作的集中统一领导</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贯彻落实党和国家路线方针政策</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决策部署</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统筹发展和安全</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制定和执行货币政策</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实施宏观审慎管理</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引导金融服务实体经济</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防范和化解金融风险</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维护金融稳定</w:t>
      </w:r>
      <w:r>
        <w:rPr>
          <w:rFonts w:hint="eastAsia" w:cs="微软雅黑"/>
          <w:color w:val="2C2C2C"/>
          <w:sz w:val="24"/>
          <w:szCs w:val="24"/>
          <w:lang w:val="en-US" w:eastAsia="zh-CN"/>
        </w:rPr>
        <w:t>。</w:t>
      </w:r>
    </w:p>
    <w:p w14:paraId="6B05A127">
      <w:pPr>
        <w:spacing w:after="120" w:line="360" w:lineRule="auto"/>
        <w:ind w:firstLine="480"/>
        <w:rPr>
          <w:rFonts w:ascii="微软雅黑" w:hAnsi="微软雅黑" w:eastAsia="微软雅黑" w:cs="微软雅黑"/>
          <w:color w:val="2C2C2C"/>
          <w:sz w:val="24"/>
          <w:szCs w:val="24"/>
        </w:rPr>
      </w:pPr>
      <w:r>
        <w:rPr>
          <w:rFonts w:hint="default" w:ascii="微软雅黑" w:hAnsi="微软雅黑" w:eastAsia="微软雅黑" w:cs="微软雅黑"/>
          <w:color w:val="2C2C2C"/>
          <w:sz w:val="24"/>
          <w:szCs w:val="24"/>
          <w:lang w:val="en-US" w:eastAsia="zh-CN"/>
        </w:rPr>
        <w:t xml:space="preserve">第三条 </w:t>
      </w:r>
      <w:r>
        <w:rPr>
          <w:rFonts w:hint="eastAsia" w:ascii="微软雅黑" w:hAnsi="微软雅黑" w:eastAsia="微软雅黑" w:cs="微软雅黑"/>
          <w:color w:val="2C2C2C"/>
          <w:sz w:val="24"/>
          <w:szCs w:val="24"/>
          <w:lang w:val="en-US" w:eastAsia="zh-CN"/>
        </w:rPr>
        <w:t>货币政策目标是保持货币币值的稳定</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并以此促进经济增长</w:t>
      </w:r>
      <w:r>
        <w:rPr>
          <w:rFonts w:hint="eastAsia" w:cs="微软雅黑"/>
          <w:color w:val="2C2C2C"/>
          <w:sz w:val="24"/>
          <w:szCs w:val="24"/>
          <w:lang w:val="en-US" w:eastAsia="zh-CN"/>
        </w:rPr>
        <w:t>。</w:t>
      </w:r>
    </w:p>
    <w:p w14:paraId="32D3097F">
      <w:pPr>
        <w:spacing w:after="120" w:line="360" w:lineRule="auto"/>
        <w:ind w:firstLine="480"/>
        <w:rPr>
          <w:rFonts w:ascii="微软雅黑" w:hAnsi="微软雅黑" w:eastAsia="微软雅黑" w:cs="微软雅黑"/>
          <w:color w:val="2C2C2C"/>
          <w:sz w:val="24"/>
          <w:szCs w:val="24"/>
        </w:rPr>
      </w:pPr>
      <w:r>
        <w:rPr>
          <w:rFonts w:hint="default" w:ascii="微软雅黑" w:hAnsi="微软雅黑" w:eastAsia="微软雅黑" w:cs="微软雅黑"/>
          <w:color w:val="2C2C2C"/>
          <w:sz w:val="24"/>
          <w:szCs w:val="24"/>
          <w:lang w:val="en-US" w:eastAsia="zh-CN"/>
        </w:rPr>
        <w:t xml:space="preserve">第四条 </w:t>
      </w:r>
      <w:r>
        <w:rPr>
          <w:rFonts w:hint="eastAsia" w:ascii="微软雅黑" w:hAnsi="微软雅黑" w:eastAsia="微软雅黑" w:cs="微软雅黑"/>
          <w:color w:val="2C2C2C"/>
          <w:sz w:val="24"/>
          <w:szCs w:val="24"/>
          <w:lang w:val="en-US" w:eastAsia="zh-CN"/>
        </w:rPr>
        <w:t>中国人民银行履行下列职责</w:t>
      </w:r>
      <w:r>
        <w:rPr>
          <w:rFonts w:hint="default" w:ascii="微软雅黑" w:hAnsi="微软雅黑" w:eastAsia="微软雅黑" w:cs="微软雅黑"/>
          <w:color w:val="2C2C2C"/>
          <w:sz w:val="24"/>
          <w:szCs w:val="24"/>
          <w:lang w:val="en-US" w:eastAsia="zh-CN"/>
        </w:rPr>
        <w:t xml:space="preserve">: </w:t>
      </w:r>
    </w:p>
    <w:p w14:paraId="023D9B96">
      <w:pPr>
        <w:spacing w:after="120" w:line="360" w:lineRule="auto"/>
        <w:ind w:firstLine="480"/>
        <w:rPr>
          <w:rFonts w:ascii="微软雅黑" w:hAnsi="微软雅黑" w:eastAsia="微软雅黑" w:cs="微软雅黑"/>
          <w:color w:val="2C2C2C"/>
          <w:sz w:val="24"/>
          <w:szCs w:val="24"/>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一</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发布与履行其职责有关的命令和规章</w:t>
      </w:r>
      <w:r>
        <w:rPr>
          <w:rFonts w:hint="default" w:ascii="微软雅黑" w:hAnsi="微软雅黑" w:eastAsia="微软雅黑" w:cs="微软雅黑"/>
          <w:color w:val="2C2C2C"/>
          <w:sz w:val="24"/>
          <w:szCs w:val="24"/>
          <w:lang w:val="en-US" w:eastAsia="zh-CN"/>
        </w:rPr>
        <w:t xml:space="preserve">; </w:t>
      </w:r>
    </w:p>
    <w:p w14:paraId="51A01181">
      <w:pPr>
        <w:spacing w:after="120" w:line="360" w:lineRule="auto"/>
        <w:ind w:firstLine="480"/>
        <w:rPr>
          <w:rFonts w:ascii="微软雅黑" w:hAnsi="微软雅黑" w:eastAsia="微软雅黑" w:cs="微软雅黑"/>
          <w:color w:val="2C2C2C"/>
          <w:sz w:val="24"/>
          <w:szCs w:val="24"/>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二</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依法制定和执行货币政策</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信贷政策</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实施宏观信贷调控</w:t>
      </w:r>
      <w:r>
        <w:rPr>
          <w:rFonts w:hint="default" w:ascii="微软雅黑" w:hAnsi="微软雅黑" w:eastAsia="微软雅黑" w:cs="微软雅黑"/>
          <w:color w:val="2C2C2C"/>
          <w:sz w:val="24"/>
          <w:szCs w:val="24"/>
          <w:lang w:val="en-US" w:eastAsia="zh-CN"/>
        </w:rPr>
        <w:t xml:space="preserve">; </w:t>
      </w:r>
    </w:p>
    <w:p w14:paraId="3191ECD0">
      <w:pPr>
        <w:spacing w:after="120" w:line="360" w:lineRule="auto"/>
        <w:ind w:firstLine="480"/>
        <w:rPr>
          <w:rFonts w:ascii="微软雅黑" w:hAnsi="微软雅黑" w:eastAsia="微软雅黑" w:cs="微软雅黑"/>
          <w:color w:val="2C2C2C"/>
          <w:sz w:val="24"/>
          <w:szCs w:val="24"/>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三</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发行人民币</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管理人民币流通</w:t>
      </w:r>
      <w:r>
        <w:rPr>
          <w:rFonts w:hint="default" w:ascii="微软雅黑" w:hAnsi="微软雅黑" w:eastAsia="微软雅黑" w:cs="微软雅黑"/>
          <w:color w:val="2C2C2C"/>
          <w:sz w:val="24"/>
          <w:szCs w:val="24"/>
          <w:lang w:val="en-US" w:eastAsia="zh-CN"/>
        </w:rPr>
        <w:t xml:space="preserve">; </w:t>
      </w:r>
    </w:p>
    <w:p w14:paraId="20B9F030">
      <w:pPr>
        <w:spacing w:after="120" w:line="360" w:lineRule="auto"/>
        <w:ind w:firstLine="480"/>
        <w:rPr>
          <w:rFonts w:ascii="微软雅黑" w:hAnsi="微软雅黑" w:eastAsia="微软雅黑" w:cs="微软雅黑"/>
          <w:color w:val="2C2C2C"/>
          <w:sz w:val="24"/>
          <w:szCs w:val="24"/>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四</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牵头建立宏观审慎政策框架</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实施宏观审慎管理</w:t>
      </w:r>
      <w:r>
        <w:rPr>
          <w:rFonts w:hint="default" w:ascii="微软雅黑" w:hAnsi="微软雅黑" w:eastAsia="微软雅黑" w:cs="微软雅黑"/>
          <w:color w:val="2C2C2C"/>
          <w:sz w:val="24"/>
          <w:szCs w:val="24"/>
          <w:lang w:val="en-US" w:eastAsia="zh-CN"/>
        </w:rPr>
        <w:t xml:space="preserve">; </w:t>
      </w:r>
    </w:p>
    <w:p w14:paraId="664F1E56">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五</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监督管理银行间债券市场</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货币市场</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外汇市场</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票据市场</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黄金市场并按照国务院规定监督管理有关衍生品市场</w:t>
      </w:r>
      <w:r>
        <w:rPr>
          <w:rFonts w:hint="default" w:ascii="微软雅黑" w:hAnsi="微软雅黑" w:eastAsia="微软雅黑" w:cs="微软雅黑"/>
          <w:color w:val="2C2C2C"/>
          <w:sz w:val="24"/>
          <w:szCs w:val="24"/>
          <w:lang w:val="en-US" w:eastAsia="zh-CN"/>
        </w:rPr>
        <w:t xml:space="preserve">; </w:t>
      </w:r>
    </w:p>
    <w:p w14:paraId="6D98659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六</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实施外汇管理和跨境人民币管理</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持有</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管理</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经营国家外汇储备</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黄金储备</w:t>
      </w:r>
      <w:r>
        <w:rPr>
          <w:rFonts w:hint="default" w:ascii="微软雅黑" w:hAnsi="微软雅黑" w:eastAsia="微软雅黑" w:cs="微软雅黑"/>
          <w:color w:val="2C2C2C"/>
          <w:sz w:val="24"/>
          <w:szCs w:val="24"/>
          <w:lang w:val="en-US" w:eastAsia="zh-CN"/>
        </w:rPr>
        <w:t xml:space="preserve">; </w:t>
      </w:r>
    </w:p>
    <w:p w14:paraId="1FE339FE">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七</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经理国库</w:t>
      </w:r>
      <w:r>
        <w:rPr>
          <w:rFonts w:hint="default" w:ascii="微软雅黑" w:hAnsi="微软雅黑" w:eastAsia="微软雅黑" w:cs="微软雅黑"/>
          <w:color w:val="2C2C2C"/>
          <w:sz w:val="24"/>
          <w:szCs w:val="24"/>
          <w:lang w:val="en-US" w:eastAsia="zh-CN"/>
        </w:rPr>
        <w:t xml:space="preserve">; </w:t>
      </w:r>
    </w:p>
    <w:p w14:paraId="1FF0FC6B">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八</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监督管理支付</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清算体系</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维护支付</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清算系统的正常运行</w:t>
      </w:r>
      <w:r>
        <w:rPr>
          <w:rFonts w:hint="default" w:ascii="微软雅黑" w:hAnsi="微软雅黑" w:eastAsia="微软雅黑" w:cs="微软雅黑"/>
          <w:color w:val="2C2C2C"/>
          <w:sz w:val="24"/>
          <w:szCs w:val="24"/>
          <w:lang w:val="en-US" w:eastAsia="zh-CN"/>
        </w:rPr>
        <w:t xml:space="preserve">; </w:t>
      </w:r>
    </w:p>
    <w:p w14:paraId="58721C6F">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九</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组织协调反洗钱工作</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依法负责反洗钱的资金监测和监督管理</w:t>
      </w:r>
      <w:r>
        <w:rPr>
          <w:rFonts w:hint="default" w:ascii="微软雅黑" w:hAnsi="微软雅黑" w:eastAsia="微软雅黑" w:cs="微软雅黑"/>
          <w:color w:val="2C2C2C"/>
          <w:sz w:val="24"/>
          <w:szCs w:val="24"/>
          <w:lang w:val="en-US" w:eastAsia="zh-CN"/>
        </w:rPr>
        <w:t xml:space="preserve">; </w:t>
      </w:r>
    </w:p>
    <w:p w14:paraId="2C70A39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十</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监督管理征信业</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主管信用评级行业并按照规定实施监督管理</w:t>
      </w:r>
      <w:r>
        <w:rPr>
          <w:rFonts w:hint="default" w:ascii="微软雅黑" w:hAnsi="微软雅黑" w:eastAsia="微软雅黑" w:cs="微软雅黑"/>
          <w:color w:val="2C2C2C"/>
          <w:sz w:val="24"/>
          <w:szCs w:val="24"/>
          <w:lang w:val="en-US" w:eastAsia="zh-CN"/>
        </w:rPr>
        <w:t xml:space="preserve">; </w:t>
      </w:r>
    </w:p>
    <w:p w14:paraId="410B5F6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十一</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组织实施金融业综合统计</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调查</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分析和预测</w:t>
      </w:r>
      <w:r>
        <w:rPr>
          <w:rFonts w:hint="default" w:ascii="微软雅黑" w:hAnsi="微软雅黑" w:eastAsia="微软雅黑" w:cs="微软雅黑"/>
          <w:color w:val="2C2C2C"/>
          <w:sz w:val="24"/>
          <w:szCs w:val="24"/>
          <w:lang w:val="en-US" w:eastAsia="zh-CN"/>
        </w:rPr>
        <w:t xml:space="preserve">; </w:t>
      </w:r>
    </w:p>
    <w:p w14:paraId="636B96BD">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十二</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作为国家的中央银行</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从事有关的国际金融活动</w:t>
      </w:r>
      <w:r>
        <w:rPr>
          <w:rFonts w:hint="default" w:ascii="微软雅黑" w:hAnsi="微软雅黑" w:eastAsia="微软雅黑" w:cs="微软雅黑"/>
          <w:color w:val="2C2C2C"/>
          <w:sz w:val="24"/>
          <w:szCs w:val="24"/>
          <w:lang w:val="en-US" w:eastAsia="zh-CN"/>
        </w:rPr>
        <w:t xml:space="preserve">; </w:t>
      </w:r>
    </w:p>
    <w:p w14:paraId="017D203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十三</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法律</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行政法规和国务院规定的其他职责</w:t>
      </w:r>
      <w:r>
        <w:rPr>
          <w:rFonts w:hint="eastAsia" w:cs="微软雅黑"/>
          <w:color w:val="2C2C2C"/>
          <w:sz w:val="24"/>
          <w:szCs w:val="24"/>
          <w:lang w:val="en-US" w:eastAsia="zh-CN"/>
        </w:rPr>
        <w:t>。</w:t>
      </w:r>
    </w:p>
    <w:p w14:paraId="6DDEE741">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中国人民银行为履行职责</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可以依照本法第四章的有关规定开展业务</w:t>
      </w:r>
      <w:r>
        <w:rPr>
          <w:rFonts w:hint="eastAsia" w:cs="微软雅黑"/>
          <w:color w:val="2C2C2C"/>
          <w:sz w:val="24"/>
          <w:szCs w:val="24"/>
          <w:lang w:val="en-US" w:eastAsia="zh-CN"/>
        </w:rPr>
        <w:t>。</w:t>
      </w:r>
    </w:p>
    <w:p w14:paraId="71EB6DDC">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第五条 </w:t>
      </w:r>
      <w:r>
        <w:rPr>
          <w:rFonts w:hint="eastAsia" w:ascii="微软雅黑" w:hAnsi="微软雅黑" w:eastAsia="微软雅黑" w:cs="微软雅黑"/>
          <w:color w:val="2C2C2C"/>
          <w:sz w:val="24"/>
          <w:szCs w:val="24"/>
          <w:lang w:val="en-US" w:eastAsia="zh-CN"/>
        </w:rPr>
        <w:t>中国人民银行就利率</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汇率和国务院规定的其他重要事项作出的决定</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报国务院批准后执行</w:t>
      </w:r>
      <w:r>
        <w:rPr>
          <w:rFonts w:hint="eastAsia" w:cs="微软雅黑"/>
          <w:color w:val="2C2C2C"/>
          <w:sz w:val="24"/>
          <w:szCs w:val="24"/>
          <w:lang w:val="en-US" w:eastAsia="zh-CN"/>
        </w:rPr>
        <w:t>。</w:t>
      </w:r>
    </w:p>
    <w:p w14:paraId="07ABD901">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中国人民银行就前款规定以外的其他有关货币政策事项作出决定后</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即予执行</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并报国务院备案</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有关货币政策情况</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国务院依法向全国人民代表大会常务委员会报告</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59F2296">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第六条 </w:t>
      </w:r>
      <w:r>
        <w:rPr>
          <w:rFonts w:hint="eastAsia" w:ascii="微软雅黑" w:hAnsi="微软雅黑" w:eastAsia="微软雅黑" w:cs="微软雅黑"/>
          <w:color w:val="2C2C2C"/>
          <w:sz w:val="24"/>
          <w:szCs w:val="24"/>
          <w:lang w:val="en-US" w:eastAsia="zh-CN"/>
        </w:rPr>
        <w:t>中国人民银行在国务院领导下依法独立执行货币政策</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履行职责</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开展业务</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不受地方政府</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各级政府部门</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社会团体和个人的干涉</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CB75DF8">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第七条 </w:t>
      </w:r>
      <w:r>
        <w:rPr>
          <w:rFonts w:hint="eastAsia" w:ascii="微软雅黑" w:hAnsi="微软雅黑" w:eastAsia="微软雅黑" w:cs="微软雅黑"/>
          <w:color w:val="2C2C2C"/>
          <w:sz w:val="24"/>
          <w:szCs w:val="24"/>
          <w:lang w:val="en-US" w:eastAsia="zh-CN"/>
        </w:rPr>
        <w:t>中国人民银行的全部资本由国家出资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属于国家所有</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F02A29B">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第二章 组织机构 </w:t>
      </w:r>
    </w:p>
    <w:p w14:paraId="5AE58293">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第八条 </w:t>
      </w:r>
      <w:r>
        <w:rPr>
          <w:rFonts w:hint="eastAsia" w:ascii="微软雅黑" w:hAnsi="微软雅黑" w:eastAsia="微软雅黑" w:cs="微软雅黑"/>
          <w:color w:val="2C2C2C"/>
          <w:sz w:val="24"/>
          <w:szCs w:val="24"/>
          <w:lang w:val="en-US" w:eastAsia="zh-CN"/>
        </w:rPr>
        <w:t>中国人民银行设行长一人</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副行长若干人</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071B0D1">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中国人民银行行长的人选</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根据国务院总理的提名</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由全国人民代表大会决定</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全国人民代表大会闭会期间</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由全国人民代表大会常务委员会决定</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由中华人民共和国主席任免</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中国人民银行副行长由国务院总理任免</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6F2AFB2">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第九条 </w:t>
      </w:r>
      <w:r>
        <w:rPr>
          <w:rFonts w:hint="eastAsia" w:ascii="微软雅黑" w:hAnsi="微软雅黑" w:eastAsia="微软雅黑" w:cs="微软雅黑"/>
          <w:color w:val="2C2C2C"/>
          <w:sz w:val="24"/>
          <w:szCs w:val="24"/>
          <w:lang w:val="en-US" w:eastAsia="zh-CN"/>
        </w:rPr>
        <w:t>中国人民银行实行行长负责制</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行长领导中国人民银行的工作</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副行长协助行长工作</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5355704">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第十条 </w:t>
      </w:r>
      <w:r>
        <w:rPr>
          <w:rFonts w:hint="eastAsia" w:ascii="微软雅黑" w:hAnsi="微软雅黑" w:eastAsia="微软雅黑" w:cs="微软雅黑"/>
          <w:color w:val="2C2C2C"/>
          <w:sz w:val="24"/>
          <w:szCs w:val="24"/>
          <w:lang w:val="en-US" w:eastAsia="zh-CN"/>
        </w:rPr>
        <w:t>中国人民银行设立货币政策委员会</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货币政策委员会的职责</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组成和工作程序</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由国务院规定</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报全国人民代表大会常务委员会备案</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585593B">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中国人民银行货币政策委员会应当在国家宏观调控</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货币政策制定和调整中</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发挥重要作用</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09891C8">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第十一条 </w:t>
      </w:r>
      <w:r>
        <w:rPr>
          <w:rFonts w:hint="eastAsia" w:ascii="微软雅黑" w:hAnsi="微软雅黑" w:eastAsia="微软雅黑" w:cs="微软雅黑"/>
          <w:color w:val="2C2C2C"/>
          <w:sz w:val="24"/>
          <w:szCs w:val="24"/>
          <w:lang w:val="en-US" w:eastAsia="zh-CN"/>
        </w:rPr>
        <w:t>中国人民银行根据履行职责的需要设立分支机构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作为中国人民银行的派出机构</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中国人民银行对分支机构实行统一领导和管理</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B8D5963">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中国人民银行的分支机构根据中国人民银行的授权</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维护本辖区的金融稳定</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承办有关业务</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6AC2133">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第十二条 </w:t>
      </w:r>
      <w:r>
        <w:rPr>
          <w:rFonts w:hint="eastAsia" w:ascii="微软雅黑" w:hAnsi="微软雅黑" w:eastAsia="微软雅黑" w:cs="微软雅黑"/>
          <w:color w:val="2C2C2C"/>
          <w:sz w:val="24"/>
          <w:szCs w:val="24"/>
          <w:lang w:val="en-US" w:eastAsia="zh-CN"/>
        </w:rPr>
        <w:t>中国人民银行的行长</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副行长及其他工作人员应当恪尽职守</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不得滥用职权</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徇私舞弊</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不得在任何金融机构</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企业</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基金会兼职</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7081984">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第十三条 </w:t>
      </w:r>
      <w:r>
        <w:rPr>
          <w:rFonts w:hint="eastAsia" w:ascii="微软雅黑" w:hAnsi="微软雅黑" w:eastAsia="微软雅黑" w:cs="微软雅黑"/>
          <w:color w:val="2C2C2C"/>
          <w:sz w:val="24"/>
          <w:szCs w:val="24"/>
          <w:lang w:val="en-US" w:eastAsia="zh-CN"/>
        </w:rPr>
        <w:t>中国人民银行的行长</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副行长及其他工作人员应当依法保守国家秘密</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并有责任为与履行其职责有关的金融机构及当事人保守秘密</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6B02C96">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第十四条 </w:t>
      </w:r>
      <w:r>
        <w:rPr>
          <w:rFonts w:hint="eastAsia" w:ascii="微软雅黑" w:hAnsi="微软雅黑" w:eastAsia="微软雅黑" w:cs="微软雅黑"/>
          <w:color w:val="2C2C2C"/>
          <w:sz w:val="24"/>
          <w:szCs w:val="24"/>
          <w:lang w:val="en-US" w:eastAsia="zh-CN"/>
        </w:rPr>
        <w:t>中国人民银行应当建立</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健全本系统的内部审计</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内部控制等制度</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加强内部的监督管理</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37DF9D7">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第三章 人 民 币 </w:t>
      </w:r>
    </w:p>
    <w:p w14:paraId="22C1BAD8">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第十五条 </w:t>
      </w:r>
      <w:r>
        <w:rPr>
          <w:rFonts w:hint="eastAsia" w:ascii="微软雅黑" w:hAnsi="微软雅黑" w:eastAsia="微软雅黑" w:cs="微软雅黑"/>
          <w:color w:val="2C2C2C"/>
          <w:sz w:val="24"/>
          <w:szCs w:val="24"/>
          <w:lang w:val="en-US" w:eastAsia="zh-CN"/>
        </w:rPr>
        <w:t>中华人民共和国的法定货币是人民币</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人民币包括实物形式和数字形式</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940FE66">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以人民币支付中华人民共和国境内的一切公共的和私人的债务</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任何单位和个人不得拒收</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DDDB9E1">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第十六条 </w:t>
      </w:r>
      <w:r>
        <w:rPr>
          <w:rFonts w:hint="eastAsia" w:ascii="微软雅黑" w:hAnsi="微软雅黑" w:eastAsia="微软雅黑" w:cs="微软雅黑"/>
          <w:color w:val="2C2C2C"/>
          <w:sz w:val="24"/>
          <w:szCs w:val="24"/>
          <w:lang w:val="en-US" w:eastAsia="zh-CN"/>
        </w:rPr>
        <w:t>人民币的单位为元</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人民币辅币单位为角</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分</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67B6387">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第十七条 </w:t>
      </w:r>
      <w:r>
        <w:rPr>
          <w:rFonts w:hint="eastAsia" w:ascii="微软雅黑" w:hAnsi="微软雅黑" w:eastAsia="微软雅黑" w:cs="微软雅黑"/>
          <w:color w:val="2C2C2C"/>
          <w:sz w:val="24"/>
          <w:szCs w:val="24"/>
          <w:lang w:val="en-US" w:eastAsia="zh-CN"/>
        </w:rPr>
        <w:t>人民币由中国人民银行统一制作</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发行</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D664EA2">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中国人民银行发行新版人民币</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应当将发行时间</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面额</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图案</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式样</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规格等予以公告</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BEB0C9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第十八条 </w:t>
      </w:r>
      <w:r>
        <w:rPr>
          <w:rFonts w:hint="eastAsia" w:ascii="微软雅黑" w:hAnsi="微软雅黑" w:eastAsia="微软雅黑" w:cs="微软雅黑"/>
          <w:color w:val="2C2C2C"/>
          <w:sz w:val="24"/>
          <w:szCs w:val="24"/>
          <w:lang w:val="en-US" w:eastAsia="zh-CN"/>
        </w:rPr>
        <w:t>禁止伪造</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变造人民币</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禁止出售</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购买</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运输伪造</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变造的人民币</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禁止持有</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使用伪造</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变造的人民币</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禁止故意毁损人民币</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禁止非法使用人民币图样</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5101C8B">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第十九条 </w:t>
      </w:r>
      <w:r>
        <w:rPr>
          <w:rFonts w:hint="eastAsia" w:ascii="微软雅黑" w:hAnsi="微软雅黑" w:eastAsia="微软雅黑" w:cs="微软雅黑"/>
          <w:color w:val="2C2C2C"/>
          <w:sz w:val="24"/>
          <w:szCs w:val="24"/>
          <w:lang w:val="en-US" w:eastAsia="zh-CN"/>
        </w:rPr>
        <w:t>任何单位和个人不得制作</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发售代币票券</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以代替人民币在市场上流通</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A5D48C5">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第二十条 </w:t>
      </w:r>
      <w:r>
        <w:rPr>
          <w:rFonts w:hint="eastAsia" w:ascii="微软雅黑" w:hAnsi="微软雅黑" w:eastAsia="微软雅黑" w:cs="微软雅黑"/>
          <w:color w:val="2C2C2C"/>
          <w:sz w:val="24"/>
          <w:szCs w:val="24"/>
          <w:lang w:val="en-US" w:eastAsia="zh-CN"/>
        </w:rPr>
        <w:t>残缺</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污损的人民币</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按照中国人民银行的规定兑换</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收回</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销毁</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B5B7D2C">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第二十一条 </w:t>
      </w:r>
      <w:r>
        <w:rPr>
          <w:rFonts w:hint="eastAsia" w:ascii="微软雅黑" w:hAnsi="微软雅黑" w:eastAsia="微软雅黑" w:cs="微软雅黑"/>
          <w:color w:val="2C2C2C"/>
          <w:sz w:val="24"/>
          <w:szCs w:val="24"/>
          <w:lang w:val="en-US" w:eastAsia="zh-CN"/>
        </w:rPr>
        <w:t>中国人民银行及其分支机构设立人民币发行库</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人民币发行基金的调拨</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应当按照中国人民银行有关规定办理</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任何单位和个人不得违反规定</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动用人民币发行基金</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8D3DBD4">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第四章 业 务 </w:t>
      </w:r>
    </w:p>
    <w:p w14:paraId="3D104AB3">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第二十二条 </w:t>
      </w:r>
      <w:r>
        <w:rPr>
          <w:rFonts w:hint="eastAsia" w:ascii="微软雅黑" w:hAnsi="微软雅黑" w:eastAsia="微软雅黑" w:cs="微软雅黑"/>
          <w:color w:val="2C2C2C"/>
          <w:sz w:val="24"/>
          <w:szCs w:val="24"/>
          <w:lang w:val="en-US" w:eastAsia="zh-CN"/>
        </w:rPr>
        <w:t>中国人民银行为执行货币政策</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可以运用下列货币政策工具</w:t>
      </w:r>
      <w:r>
        <w:rPr>
          <w:rFonts w:hint="default" w:ascii="微软雅黑" w:hAnsi="微软雅黑" w:eastAsia="微软雅黑" w:cs="微软雅黑"/>
          <w:color w:val="2C2C2C"/>
          <w:sz w:val="24"/>
          <w:szCs w:val="24"/>
          <w:lang w:val="en-US" w:eastAsia="zh-CN"/>
        </w:rPr>
        <w:t xml:space="preserve">: </w:t>
      </w:r>
    </w:p>
    <w:p w14:paraId="1C539EE9">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一</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要求银行业金融机构按照规定交存存款准备金</w:t>
      </w:r>
      <w:r>
        <w:rPr>
          <w:rFonts w:hint="default" w:ascii="微软雅黑" w:hAnsi="微软雅黑" w:eastAsia="微软雅黑" w:cs="微软雅黑"/>
          <w:color w:val="2C2C2C"/>
          <w:sz w:val="24"/>
          <w:szCs w:val="24"/>
          <w:lang w:val="en-US" w:eastAsia="zh-CN"/>
        </w:rPr>
        <w:t xml:space="preserve">; </w:t>
      </w:r>
    </w:p>
    <w:p w14:paraId="2CC572A7">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二</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确定中央银行政策利率</w:t>
      </w:r>
      <w:r>
        <w:rPr>
          <w:rFonts w:hint="default" w:ascii="微软雅黑" w:hAnsi="微软雅黑" w:eastAsia="微软雅黑" w:cs="微软雅黑"/>
          <w:color w:val="2C2C2C"/>
          <w:sz w:val="24"/>
          <w:szCs w:val="24"/>
          <w:lang w:val="en-US" w:eastAsia="zh-CN"/>
        </w:rPr>
        <w:t xml:space="preserve">; </w:t>
      </w:r>
    </w:p>
    <w:p w14:paraId="4A1E74AE">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三</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为在中国人民银行开立账户的银行业金融机构办理再贴现</w:t>
      </w:r>
      <w:r>
        <w:rPr>
          <w:rFonts w:hint="default" w:ascii="微软雅黑" w:hAnsi="微软雅黑" w:eastAsia="微软雅黑" w:cs="微软雅黑"/>
          <w:color w:val="2C2C2C"/>
          <w:sz w:val="24"/>
          <w:szCs w:val="24"/>
          <w:lang w:val="en-US" w:eastAsia="zh-CN"/>
        </w:rPr>
        <w:t xml:space="preserve">; </w:t>
      </w:r>
    </w:p>
    <w:p w14:paraId="0C201191">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四</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向银行业金融机构提供贷款</w:t>
      </w:r>
      <w:r>
        <w:rPr>
          <w:rFonts w:hint="default" w:ascii="微软雅黑" w:hAnsi="微软雅黑" w:eastAsia="微软雅黑" w:cs="微软雅黑"/>
          <w:color w:val="2C2C2C"/>
          <w:sz w:val="24"/>
          <w:szCs w:val="24"/>
          <w:lang w:val="en-US" w:eastAsia="zh-CN"/>
        </w:rPr>
        <w:t xml:space="preserve">; </w:t>
      </w:r>
    </w:p>
    <w:p w14:paraId="77624056">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五</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在公开市场上买卖国债</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其他政府债券和金融债券及外汇</w:t>
      </w:r>
      <w:r>
        <w:rPr>
          <w:rFonts w:hint="default" w:ascii="微软雅黑" w:hAnsi="微软雅黑" w:eastAsia="微软雅黑" w:cs="微软雅黑"/>
          <w:color w:val="2C2C2C"/>
          <w:sz w:val="24"/>
          <w:szCs w:val="24"/>
          <w:lang w:val="en-US" w:eastAsia="zh-CN"/>
        </w:rPr>
        <w:t xml:space="preserve">; </w:t>
      </w:r>
    </w:p>
    <w:p w14:paraId="3755CB9F">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六</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国务院确定的其他货币政策工具</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4382DAD">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中国人民银行为执行货币政策</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运用前款所列货币政策工具时</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可以规定具体的条件和程序</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375E796">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第二十三条 </w:t>
      </w:r>
      <w:r>
        <w:rPr>
          <w:rFonts w:hint="eastAsia" w:ascii="微软雅黑" w:hAnsi="微软雅黑" w:eastAsia="微软雅黑" w:cs="微软雅黑"/>
          <w:color w:val="2C2C2C"/>
          <w:sz w:val="24"/>
          <w:szCs w:val="24"/>
          <w:lang w:val="en-US" w:eastAsia="zh-CN"/>
        </w:rPr>
        <w:t>中国人民银行依照法律</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行政法规的规定经理国库</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EB0BC1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第二十四条 </w:t>
      </w:r>
      <w:r>
        <w:rPr>
          <w:rFonts w:hint="eastAsia" w:ascii="微软雅黑" w:hAnsi="微软雅黑" w:eastAsia="微软雅黑" w:cs="微软雅黑"/>
          <w:color w:val="2C2C2C"/>
          <w:sz w:val="24"/>
          <w:szCs w:val="24"/>
          <w:lang w:val="en-US" w:eastAsia="zh-CN"/>
        </w:rPr>
        <w:t>中国人民银行可以根据需要</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为金融机构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其他国家和地区中央银行</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国际组织等开立账户</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但不得对账户透支</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04441E7">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第二十五条 </w:t>
      </w:r>
      <w:r>
        <w:rPr>
          <w:rFonts w:hint="eastAsia" w:ascii="微软雅黑" w:hAnsi="微软雅黑" w:eastAsia="微软雅黑" w:cs="微软雅黑"/>
          <w:color w:val="2C2C2C"/>
          <w:sz w:val="24"/>
          <w:szCs w:val="24"/>
          <w:lang w:val="en-US" w:eastAsia="zh-CN"/>
        </w:rPr>
        <w:t>中国人民银行应当组织或者协助组织金融机构相互之间的清算系统</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协调金融机构相互之间的清算事项</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提供清算服务</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具体办法由中国人民银行制定</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D8B2B7B">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中国人民银行会同国务院银行业监督管理机构制定支付结算规则</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1BAEC2D">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第二十六条 </w:t>
      </w:r>
      <w:r>
        <w:rPr>
          <w:rFonts w:hint="eastAsia" w:ascii="微软雅黑" w:hAnsi="微软雅黑" w:eastAsia="微软雅黑" w:cs="微软雅黑"/>
          <w:color w:val="2C2C2C"/>
          <w:sz w:val="24"/>
          <w:szCs w:val="24"/>
          <w:lang w:val="en-US" w:eastAsia="zh-CN"/>
        </w:rPr>
        <w:t>中国人民银行根据执行货币政策的需要</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可以决定对银行业金融机构贷款的数额</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期限</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利率和方式</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但贷款的期限不得超过一年</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530112D">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第二十七条 </w:t>
      </w:r>
      <w:r>
        <w:rPr>
          <w:rFonts w:hint="eastAsia" w:ascii="微软雅黑" w:hAnsi="微软雅黑" w:eastAsia="微软雅黑" w:cs="微软雅黑"/>
          <w:color w:val="2C2C2C"/>
          <w:sz w:val="24"/>
          <w:szCs w:val="24"/>
          <w:lang w:val="en-US" w:eastAsia="zh-CN"/>
        </w:rPr>
        <w:t>中国人民银行不得对政府财政透支</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不得直接认购</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包销国债和其他政府债券</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1FA39B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第二十八条 </w:t>
      </w:r>
      <w:r>
        <w:rPr>
          <w:rFonts w:hint="eastAsia" w:ascii="微软雅黑" w:hAnsi="微软雅黑" w:eastAsia="微软雅黑" w:cs="微软雅黑"/>
          <w:color w:val="2C2C2C"/>
          <w:sz w:val="24"/>
          <w:szCs w:val="24"/>
          <w:lang w:val="en-US" w:eastAsia="zh-CN"/>
        </w:rPr>
        <w:t>中国人民银行不得向地方政府</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各级政府部门提供贷款</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不得向银行业金融机构以外的其他单位和个人提供贷款</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不得向任何单位和个人提供担保</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9E27656">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经国务院决定</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中国人民银行可以向特定的金融机构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金融基础设施运营主体提供特种贷款</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7BCC530">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中国人民银行依法履行最后贷款人职责</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5B9B2DA">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第五章 金融监督管理 </w:t>
      </w:r>
    </w:p>
    <w:p w14:paraId="53EAC79E">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第二十九条 </w:t>
      </w:r>
      <w:r>
        <w:rPr>
          <w:rFonts w:hint="eastAsia" w:ascii="微软雅黑" w:hAnsi="微软雅黑" w:eastAsia="微软雅黑" w:cs="微软雅黑"/>
          <w:color w:val="2C2C2C"/>
          <w:sz w:val="24"/>
          <w:szCs w:val="24"/>
          <w:lang w:val="en-US" w:eastAsia="zh-CN"/>
        </w:rPr>
        <w:t>中国人民银行牵头建立宏观审慎政策框架</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会同国务院有关部门制定宏观审慎政策</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监测评估金融体系的整体稳健性</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开展宏观审慎管理</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防范处置系统性金融风险</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9CB2A1C">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第三十条 </w:t>
      </w:r>
      <w:r>
        <w:rPr>
          <w:rFonts w:hint="eastAsia" w:ascii="微软雅黑" w:hAnsi="微软雅黑" w:eastAsia="微软雅黑" w:cs="微软雅黑"/>
          <w:color w:val="2C2C2C"/>
          <w:sz w:val="24"/>
          <w:szCs w:val="24"/>
          <w:lang w:val="en-US" w:eastAsia="zh-CN"/>
        </w:rPr>
        <w:t>中国人民银行会同国务院有关部门对金融市场实施宏观调控和管理</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监测金融市场运行情况</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可以根据情形采取逆周期</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跨周期调节等措施</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促进金融市场稳健发展</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维护金融市场稳定</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5EF9A5B">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第三十一条 </w:t>
      </w:r>
      <w:r>
        <w:rPr>
          <w:rFonts w:hint="eastAsia" w:ascii="微软雅黑" w:hAnsi="微软雅黑" w:eastAsia="微软雅黑" w:cs="微软雅黑"/>
          <w:color w:val="2C2C2C"/>
          <w:sz w:val="24"/>
          <w:szCs w:val="24"/>
          <w:lang w:val="en-US" w:eastAsia="zh-CN"/>
        </w:rPr>
        <w:t>中国人民银行对支付系统</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基础征信系统实施监督管理</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按照国务院规定对银行间市场金融基础设施实施监督管理</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对具有系统重要性的金融基础设施实施宏观审慎管理</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21856D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第三十二条 </w:t>
      </w:r>
      <w:r>
        <w:rPr>
          <w:rFonts w:hint="eastAsia" w:ascii="微软雅黑" w:hAnsi="微软雅黑" w:eastAsia="微软雅黑" w:cs="微软雅黑"/>
          <w:color w:val="2C2C2C"/>
          <w:sz w:val="24"/>
          <w:szCs w:val="24"/>
          <w:lang w:val="en-US" w:eastAsia="zh-CN"/>
        </w:rPr>
        <w:t>中国人民银行依照法律</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行政法规和国务院规定对非银行支付机构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清算机构及其他支付服务组织实施监督管理</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9656BEE">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第三十三条 </w:t>
      </w:r>
      <w:r>
        <w:rPr>
          <w:rFonts w:hint="eastAsia" w:ascii="微软雅黑" w:hAnsi="微软雅黑" w:eastAsia="微软雅黑" w:cs="微软雅黑"/>
          <w:color w:val="2C2C2C"/>
          <w:sz w:val="24"/>
          <w:szCs w:val="24"/>
          <w:lang w:val="en-US" w:eastAsia="zh-CN"/>
        </w:rPr>
        <w:t>中国人民银行负责依法制定金融业综合统计基础标准</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组织实施金融业综合统计</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会同国务院有关部门建设国家金融基础数据库</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统一编制全国金融业综合统计数据</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报表</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并按照国家有关规定予以共享和公布</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807827F">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第三十四条 </w:t>
      </w:r>
      <w:r>
        <w:rPr>
          <w:rFonts w:hint="eastAsia" w:ascii="微软雅黑" w:hAnsi="微软雅黑" w:eastAsia="微软雅黑" w:cs="微软雅黑"/>
          <w:color w:val="2C2C2C"/>
          <w:sz w:val="24"/>
          <w:szCs w:val="24"/>
          <w:lang w:val="en-US" w:eastAsia="zh-CN"/>
        </w:rPr>
        <w:t>中国人民银行有权对金融机构以及其他单位和个人的下列行为进行检查监督</w:t>
      </w:r>
      <w:r>
        <w:rPr>
          <w:rFonts w:hint="default" w:ascii="微软雅黑" w:hAnsi="微软雅黑" w:eastAsia="微软雅黑" w:cs="微软雅黑"/>
          <w:color w:val="2C2C2C"/>
          <w:sz w:val="24"/>
          <w:szCs w:val="24"/>
          <w:lang w:val="en-US" w:eastAsia="zh-CN"/>
        </w:rPr>
        <w:t xml:space="preserve">: </w:t>
      </w:r>
    </w:p>
    <w:p w14:paraId="7EDD4CBB">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一</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执行有关存款准备金</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利率</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再贷款规定的行为</w:t>
      </w:r>
      <w:r>
        <w:rPr>
          <w:rFonts w:hint="default" w:ascii="微软雅黑" w:hAnsi="微软雅黑" w:eastAsia="微软雅黑" w:cs="微软雅黑"/>
          <w:color w:val="2C2C2C"/>
          <w:sz w:val="24"/>
          <w:szCs w:val="24"/>
          <w:lang w:val="en-US" w:eastAsia="zh-CN"/>
        </w:rPr>
        <w:t xml:space="preserve">; </w:t>
      </w:r>
    </w:p>
    <w:p w14:paraId="6DEF41B2">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二</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执行中国人民银行宏观审慎管理有关规定的行为</w:t>
      </w:r>
      <w:r>
        <w:rPr>
          <w:rFonts w:hint="default" w:ascii="微软雅黑" w:hAnsi="微软雅黑" w:eastAsia="微软雅黑" w:cs="微软雅黑"/>
          <w:color w:val="2C2C2C"/>
          <w:sz w:val="24"/>
          <w:szCs w:val="24"/>
          <w:lang w:val="en-US" w:eastAsia="zh-CN"/>
        </w:rPr>
        <w:t xml:space="preserve">; </w:t>
      </w:r>
    </w:p>
    <w:p w14:paraId="40ABC023">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三</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与中国人民银行特种贷款有关的行为</w:t>
      </w:r>
      <w:r>
        <w:rPr>
          <w:rFonts w:hint="default" w:ascii="微软雅黑" w:hAnsi="微软雅黑" w:eastAsia="微软雅黑" w:cs="微软雅黑"/>
          <w:color w:val="2C2C2C"/>
          <w:sz w:val="24"/>
          <w:szCs w:val="24"/>
          <w:lang w:val="en-US" w:eastAsia="zh-CN"/>
        </w:rPr>
        <w:t xml:space="preserve">; </w:t>
      </w:r>
    </w:p>
    <w:p w14:paraId="74C70828">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四</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执行有关人民币管理规定的行为</w:t>
      </w:r>
      <w:r>
        <w:rPr>
          <w:rFonts w:hint="default" w:ascii="微软雅黑" w:hAnsi="微软雅黑" w:eastAsia="微软雅黑" w:cs="微软雅黑"/>
          <w:color w:val="2C2C2C"/>
          <w:sz w:val="24"/>
          <w:szCs w:val="24"/>
          <w:lang w:val="en-US" w:eastAsia="zh-CN"/>
        </w:rPr>
        <w:t xml:space="preserve">; </w:t>
      </w:r>
    </w:p>
    <w:p w14:paraId="46A47F7B">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五</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执行有关银行间债券市场</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货币市场</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外汇市场</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票据市场</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黄金市场及有关衍生品管理规定的行为</w:t>
      </w:r>
      <w:r>
        <w:rPr>
          <w:rFonts w:hint="default" w:ascii="微软雅黑" w:hAnsi="微软雅黑" w:eastAsia="微软雅黑" w:cs="微软雅黑"/>
          <w:color w:val="2C2C2C"/>
          <w:sz w:val="24"/>
          <w:szCs w:val="24"/>
          <w:lang w:val="en-US" w:eastAsia="zh-CN"/>
        </w:rPr>
        <w:t xml:space="preserve">; </w:t>
      </w:r>
    </w:p>
    <w:p w14:paraId="38B0F8D9">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六</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中国人民银行监督管理的金融基础设施运营主体执行有关规定的行为</w:t>
      </w:r>
      <w:r>
        <w:rPr>
          <w:rFonts w:hint="default" w:ascii="微软雅黑" w:hAnsi="微软雅黑" w:eastAsia="微软雅黑" w:cs="微软雅黑"/>
          <w:color w:val="2C2C2C"/>
          <w:sz w:val="24"/>
          <w:szCs w:val="24"/>
          <w:lang w:val="en-US" w:eastAsia="zh-CN"/>
        </w:rPr>
        <w:t xml:space="preserve">; </w:t>
      </w:r>
    </w:p>
    <w:p w14:paraId="47AEBC35">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七</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执行中国人民银行有关统计规定的行为</w:t>
      </w:r>
      <w:r>
        <w:rPr>
          <w:rFonts w:hint="default" w:ascii="微软雅黑" w:hAnsi="微软雅黑" w:eastAsia="微软雅黑" w:cs="微软雅黑"/>
          <w:color w:val="2C2C2C"/>
          <w:sz w:val="24"/>
          <w:szCs w:val="24"/>
          <w:lang w:val="en-US" w:eastAsia="zh-CN"/>
        </w:rPr>
        <w:t xml:space="preserve">; </w:t>
      </w:r>
    </w:p>
    <w:p w14:paraId="52BD9509">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八</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接受中国人民银行委托</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办理国库业务的行为</w:t>
      </w:r>
      <w:r>
        <w:rPr>
          <w:rFonts w:hint="default" w:ascii="微软雅黑" w:hAnsi="微软雅黑" w:eastAsia="微软雅黑" w:cs="微软雅黑"/>
          <w:color w:val="2C2C2C"/>
          <w:sz w:val="24"/>
          <w:szCs w:val="24"/>
          <w:lang w:val="en-US" w:eastAsia="zh-CN"/>
        </w:rPr>
        <w:t xml:space="preserve">; </w:t>
      </w:r>
    </w:p>
    <w:p w14:paraId="0724E55E">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九</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执行中国人民银行有关支付</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清算管理规定的行为</w:t>
      </w:r>
      <w:r>
        <w:rPr>
          <w:rFonts w:hint="default" w:ascii="微软雅黑" w:hAnsi="微软雅黑" w:eastAsia="微软雅黑" w:cs="微软雅黑"/>
          <w:color w:val="2C2C2C"/>
          <w:sz w:val="24"/>
          <w:szCs w:val="24"/>
          <w:lang w:val="en-US" w:eastAsia="zh-CN"/>
        </w:rPr>
        <w:t xml:space="preserve">; </w:t>
      </w:r>
    </w:p>
    <w:p w14:paraId="239DCA22">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十</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执行有关反洗钱规定的行为</w:t>
      </w:r>
      <w:r>
        <w:rPr>
          <w:rFonts w:hint="default" w:ascii="微软雅黑" w:hAnsi="微软雅黑" w:eastAsia="微软雅黑" w:cs="微软雅黑"/>
          <w:color w:val="2C2C2C"/>
          <w:sz w:val="24"/>
          <w:szCs w:val="24"/>
          <w:lang w:val="en-US" w:eastAsia="zh-CN"/>
        </w:rPr>
        <w:t xml:space="preserve">; </w:t>
      </w:r>
    </w:p>
    <w:p w14:paraId="2C3FD7D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十一</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执行有关征信业</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信用评级行业管理规定的行为</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0230367">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第三十五条 </w:t>
      </w:r>
      <w:r>
        <w:rPr>
          <w:rFonts w:hint="eastAsia" w:ascii="微软雅黑" w:hAnsi="微软雅黑" w:eastAsia="微软雅黑" w:cs="微软雅黑"/>
          <w:color w:val="2C2C2C"/>
          <w:sz w:val="24"/>
          <w:szCs w:val="24"/>
          <w:lang w:val="en-US" w:eastAsia="zh-CN"/>
        </w:rPr>
        <w:t>中国人民银行根据执行货币政策和维护金融稳定的需要</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可以建议国务院银行业监督管理机构对银行业金融机构进行检查监督</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国务院银行业监督管理机构应当自收到建议之日起三十日内予以回复</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DD6F8A4">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第三十六条 </w:t>
      </w:r>
      <w:r>
        <w:rPr>
          <w:rFonts w:hint="eastAsia" w:ascii="微软雅黑" w:hAnsi="微软雅黑" w:eastAsia="微软雅黑" w:cs="微软雅黑"/>
          <w:color w:val="2C2C2C"/>
          <w:sz w:val="24"/>
          <w:szCs w:val="24"/>
          <w:lang w:val="en-US" w:eastAsia="zh-CN"/>
        </w:rPr>
        <w:t>未经依法批准擅自设立支付清算</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个人征信机构或者非法从事支付清算</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个人征信</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外汇市场</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票据市场</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黄金市场业务的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由中国人民银行或者法律</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行政法规规定的有关部门予以取缔</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C689439">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第三十七条 </w:t>
      </w:r>
      <w:r>
        <w:rPr>
          <w:rFonts w:hint="eastAsia" w:ascii="微软雅黑" w:hAnsi="微软雅黑" w:eastAsia="微软雅黑" w:cs="微软雅黑"/>
          <w:color w:val="2C2C2C"/>
          <w:sz w:val="24"/>
          <w:szCs w:val="24"/>
          <w:lang w:val="en-US" w:eastAsia="zh-CN"/>
        </w:rPr>
        <w:t>中国人民银行根据履行职责的需要</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有权要求金融机构报送必要的资产负债表</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利润表以及其他财务会计</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统计报表和资料</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数据</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7A1517F">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中国人民银行</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国务院其他金融管理部门等有关部门加强监督管理合作和信息共享</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33C59EC">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中国人民银行依法与其他国家和地区中央银行及金融监督管理机构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国际组织进行信息交流和跨境监管合作</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B1C71EC">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第三十八条 </w:t>
      </w:r>
      <w:r>
        <w:rPr>
          <w:rFonts w:hint="eastAsia" w:ascii="微软雅黑" w:hAnsi="微软雅黑" w:eastAsia="微软雅黑" w:cs="微软雅黑"/>
          <w:color w:val="2C2C2C"/>
          <w:sz w:val="24"/>
          <w:szCs w:val="24"/>
          <w:lang w:val="en-US" w:eastAsia="zh-CN"/>
        </w:rPr>
        <w:t>中国人民银行对银行间市场</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支付清算</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互联网金融等所管理领域的相关自律组织的活动进行指导</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监督和问责</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1560F2B">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第六章 财务会计 </w:t>
      </w:r>
    </w:p>
    <w:p w14:paraId="04F63773">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第三十九条 </w:t>
      </w:r>
      <w:r>
        <w:rPr>
          <w:rFonts w:hint="eastAsia" w:ascii="微软雅黑" w:hAnsi="微软雅黑" w:eastAsia="微软雅黑" w:cs="微软雅黑"/>
          <w:color w:val="2C2C2C"/>
          <w:sz w:val="24"/>
          <w:szCs w:val="24"/>
          <w:lang w:val="en-US" w:eastAsia="zh-CN"/>
        </w:rPr>
        <w:t>中国人民银行依法实行独立的财务预算管理制度</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8D1A589">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中国人民银行的预算经国务院财政部门审核后</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纳入中央预算</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接受国务院财政部门的预算执行监督</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8B05E78">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第四十条 </w:t>
      </w:r>
      <w:r>
        <w:rPr>
          <w:rFonts w:hint="eastAsia" w:ascii="微软雅黑" w:hAnsi="微软雅黑" w:eastAsia="微软雅黑" w:cs="微软雅黑"/>
          <w:color w:val="2C2C2C"/>
          <w:sz w:val="24"/>
          <w:szCs w:val="24"/>
          <w:lang w:val="en-US" w:eastAsia="zh-CN"/>
        </w:rPr>
        <w:t>中国人民银行每一会计年度的收入减除该年度支出</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并按照国务院财政部门核定的比例提取总准备金后的净利润</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全部上缴中央财政</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D5CB8A9">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中国人民银行的亏损优先通过已提取的总准备金弥补</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不足部分由中央财政拨款弥补</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DDA185F">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第四十一条 </w:t>
      </w:r>
      <w:r>
        <w:rPr>
          <w:rFonts w:hint="eastAsia" w:ascii="微软雅黑" w:hAnsi="微软雅黑" w:eastAsia="微软雅黑" w:cs="微软雅黑"/>
          <w:color w:val="2C2C2C"/>
          <w:sz w:val="24"/>
          <w:szCs w:val="24"/>
          <w:lang w:val="en-US" w:eastAsia="zh-CN"/>
        </w:rPr>
        <w:t>中国人民银行的财务收支和会计事务</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应当执行法律</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行政法规和国家统一的财务</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会计制度</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接受国务院审计机关和财政部门依法分别进行的审计和财会监督</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15F9382">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第四十二条 </w:t>
      </w:r>
      <w:r>
        <w:rPr>
          <w:rFonts w:hint="eastAsia" w:ascii="微软雅黑" w:hAnsi="微软雅黑" w:eastAsia="微软雅黑" w:cs="微软雅黑"/>
          <w:color w:val="2C2C2C"/>
          <w:sz w:val="24"/>
          <w:szCs w:val="24"/>
          <w:lang w:val="en-US" w:eastAsia="zh-CN"/>
        </w:rPr>
        <w:t>中国人民银行应当于每一会计年度结束后的三个月内</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编制资产负债表</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损益表和相关的财务会计报表</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按照国家有关规定编制年度报告并予以公布</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6EC231C9">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中国人民银行的会计年度自公历</w:t>
      </w:r>
      <w:r>
        <w:rPr>
          <w:rFonts w:hint="default" w:ascii="微软雅黑" w:hAnsi="微软雅黑" w:eastAsia="微软雅黑" w:cs="微软雅黑"/>
          <w:color w:val="2C2C2C"/>
          <w:sz w:val="24"/>
          <w:szCs w:val="24"/>
          <w:lang w:val="en-US" w:eastAsia="zh-CN"/>
        </w:rPr>
        <w:t>１</w:t>
      </w:r>
      <w:r>
        <w:rPr>
          <w:rFonts w:hint="eastAsia" w:ascii="微软雅黑" w:hAnsi="微软雅黑" w:eastAsia="微软雅黑" w:cs="微软雅黑"/>
          <w:color w:val="2C2C2C"/>
          <w:sz w:val="24"/>
          <w:szCs w:val="24"/>
          <w:lang w:val="en-US" w:eastAsia="zh-CN"/>
        </w:rPr>
        <w:t>月</w:t>
      </w:r>
      <w:r>
        <w:rPr>
          <w:rFonts w:hint="default" w:ascii="微软雅黑" w:hAnsi="微软雅黑" w:eastAsia="微软雅黑" w:cs="微软雅黑"/>
          <w:color w:val="2C2C2C"/>
          <w:sz w:val="24"/>
          <w:szCs w:val="24"/>
          <w:lang w:val="en-US" w:eastAsia="zh-CN"/>
        </w:rPr>
        <w:t>１</w:t>
      </w:r>
      <w:r>
        <w:rPr>
          <w:rFonts w:hint="eastAsia" w:ascii="微软雅黑" w:hAnsi="微软雅黑" w:eastAsia="微软雅黑" w:cs="微软雅黑"/>
          <w:color w:val="2C2C2C"/>
          <w:sz w:val="24"/>
          <w:szCs w:val="24"/>
          <w:lang w:val="en-US" w:eastAsia="zh-CN"/>
        </w:rPr>
        <w:t>日起至</w:t>
      </w:r>
      <w:r>
        <w:rPr>
          <w:rFonts w:hint="eastAsia" w:cs="微软雅黑"/>
          <w:color w:val="2C2C2C"/>
          <w:sz w:val="24"/>
          <w:szCs w:val="24"/>
          <w:lang w:val="en-US" w:eastAsia="zh-CN"/>
        </w:rPr>
        <w:t>12</w:t>
      </w:r>
      <w:r>
        <w:rPr>
          <w:rFonts w:hint="eastAsia" w:ascii="微软雅黑" w:hAnsi="微软雅黑" w:eastAsia="微软雅黑" w:cs="微软雅黑"/>
          <w:color w:val="2C2C2C"/>
          <w:sz w:val="24"/>
          <w:szCs w:val="24"/>
          <w:lang w:val="en-US" w:eastAsia="zh-CN"/>
        </w:rPr>
        <w:t>月</w:t>
      </w:r>
      <w:r>
        <w:rPr>
          <w:rFonts w:hint="eastAsia" w:cs="微软雅黑"/>
          <w:color w:val="2C2C2C"/>
          <w:sz w:val="24"/>
          <w:szCs w:val="24"/>
          <w:lang w:val="en-US" w:eastAsia="zh-CN"/>
        </w:rPr>
        <w:t>31</w:t>
      </w:r>
      <w:r>
        <w:rPr>
          <w:rFonts w:hint="eastAsia" w:ascii="微软雅黑" w:hAnsi="微软雅黑" w:eastAsia="微软雅黑" w:cs="微软雅黑"/>
          <w:color w:val="2C2C2C"/>
          <w:sz w:val="24"/>
          <w:szCs w:val="24"/>
          <w:lang w:val="en-US" w:eastAsia="zh-CN"/>
        </w:rPr>
        <w:t>日 止</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7C71D51">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第七章 法律责任 </w:t>
      </w:r>
    </w:p>
    <w:p w14:paraId="33085EED">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第四十三条 </w:t>
      </w:r>
      <w:r>
        <w:rPr>
          <w:rFonts w:hint="eastAsia" w:ascii="微软雅黑" w:hAnsi="微软雅黑" w:eastAsia="微软雅黑" w:cs="微软雅黑"/>
          <w:color w:val="2C2C2C"/>
          <w:sz w:val="24"/>
          <w:szCs w:val="24"/>
          <w:lang w:val="en-US" w:eastAsia="zh-CN"/>
        </w:rPr>
        <w:t>本法第三十四条所列行为违反有关规定</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有关法律</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行政法规有处罚规定的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依照其规定给予处罚</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有关法律</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行政法规未作处罚规定的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由中国人民银行责令改正</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给予警告</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没收违法所得</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并处五十万元以下罚款</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情节严重或者逾期不改正的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并处违法所得一倍以上十倍以下罚款</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没有违法所得或者违法所得不足五十万元的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并处五十万元以上五百万元以下罚款</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可以根据情形在职责范围内责令停止新增业务</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缩减业务类型或者业务范围</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暂停相关业务</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停业整顿</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直至吊销相关 许可证</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或者移送国务院其他金融管理部门依法予以处理</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构成犯罪的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依法追究刑事责任</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35E8987">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中国人民银行依照前款规定对金融机构或者其他单位进行处罚的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可以根据情形对负有直接责任的董事</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监事</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高级管理人员和其他直接责任人员给予警告</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处五万元以上五十万元以下罚款</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情节严重的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可以在职责范围内实施取消其任职资格</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禁止其一定期限直至终身从事有关金融行业工作等处罚</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或者移送国务院其他金融管理部门依法予以处理</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6DB041B">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中国人民银行应当制定具体办法</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结合违法行为的事实</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性质</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情节以及社会危害程度等</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明确本条处罚措施的适用</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728EB241">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第四十四条 </w:t>
      </w:r>
      <w:r>
        <w:rPr>
          <w:rFonts w:hint="eastAsia" w:ascii="微软雅黑" w:hAnsi="微软雅黑" w:eastAsia="微软雅黑" w:cs="微软雅黑"/>
          <w:color w:val="2C2C2C"/>
          <w:sz w:val="24"/>
          <w:szCs w:val="24"/>
          <w:lang w:val="en-US" w:eastAsia="zh-CN"/>
        </w:rPr>
        <w:t>伪造</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变造人民币</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出售</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购买</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运输伪造</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变造的人民币</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或者明知是伪造</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变造的人民币而持有</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使用</w:t>
      </w:r>
      <w:r>
        <w:rPr>
          <w:rFonts w:hint="default" w:ascii="微软雅黑" w:hAnsi="微软雅黑" w:eastAsia="微软雅黑" w:cs="微软雅黑"/>
          <w:color w:val="2C2C2C"/>
          <w:sz w:val="24"/>
          <w:szCs w:val="24"/>
          <w:lang w:val="en-US" w:eastAsia="zh-CN"/>
        </w:rPr>
        <w:t xml:space="preserve">, </w:t>
      </w:r>
      <w:r>
        <w:rPr>
          <w:rFonts w:hint="eastAsia" w:ascii="微软雅黑" w:hAnsi="微软雅黑" w:eastAsia="微软雅黑" w:cs="微软雅黑"/>
          <w:color w:val="2C2C2C"/>
          <w:sz w:val="24"/>
          <w:szCs w:val="24"/>
          <w:lang w:val="en-US" w:eastAsia="zh-CN"/>
        </w:rPr>
        <w:t>构成犯罪的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依法追究刑事责任</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尚不构成犯罪的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由公安机关处十五日以下拘留</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一万元以下罚款</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8E4832D">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伪造</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变造正在流通的外币</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出售</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购买</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运输伪造</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变造的正在流通的外币</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或者明知是伪造</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变造的正在流通的外币而持有</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使用的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依照前款规定处罚</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4801975">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第四十五条 </w:t>
      </w:r>
      <w:r>
        <w:rPr>
          <w:rFonts w:hint="eastAsia" w:ascii="微软雅黑" w:hAnsi="微软雅黑" w:eastAsia="微软雅黑" w:cs="微软雅黑"/>
          <w:color w:val="2C2C2C"/>
          <w:sz w:val="24"/>
          <w:szCs w:val="24"/>
          <w:lang w:val="en-US" w:eastAsia="zh-CN"/>
        </w:rPr>
        <w:t>非法使用人民币图样的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中国人民银行应当责令改正</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并销毁非法使用的人民币图样</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没收违法所得</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并处违法所得一倍以上十倍以下罚款</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没有违法所得或者违法所得不足一万元的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并处一万元以上十万元以下罚款</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69BF35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第四十六条 </w:t>
      </w:r>
      <w:r>
        <w:rPr>
          <w:rFonts w:hint="eastAsia" w:ascii="微软雅黑" w:hAnsi="微软雅黑" w:eastAsia="微软雅黑" w:cs="微软雅黑"/>
          <w:color w:val="2C2C2C"/>
          <w:sz w:val="24"/>
          <w:szCs w:val="24"/>
          <w:lang w:val="en-US" w:eastAsia="zh-CN"/>
        </w:rPr>
        <w:t>制作</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发售代币票券</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以代替人民币在市场上流通的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中国人民银行应当责令停止违法行为</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没收违法所得</w:t>
      </w:r>
      <w:r>
        <w:rPr>
          <w:rFonts w:hint="default" w:ascii="微软雅黑" w:hAnsi="微软雅黑" w:eastAsia="微软雅黑" w:cs="微软雅黑"/>
          <w:color w:val="2C2C2C"/>
          <w:sz w:val="24"/>
          <w:szCs w:val="24"/>
          <w:lang w:val="en-US" w:eastAsia="zh-CN"/>
        </w:rPr>
        <w:t xml:space="preserve">, </w:t>
      </w:r>
      <w:r>
        <w:rPr>
          <w:rFonts w:hint="eastAsia" w:ascii="微软雅黑" w:hAnsi="微软雅黑" w:eastAsia="微软雅黑" w:cs="微软雅黑"/>
          <w:color w:val="2C2C2C"/>
          <w:sz w:val="24"/>
          <w:szCs w:val="24"/>
          <w:lang w:val="en-US" w:eastAsia="zh-CN"/>
        </w:rPr>
        <w:t>并处五十万元以下罚款</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情节严重的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并处违法所得一倍以上十倍以下罚款</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没有违法所得或者违法所得不足五十万元的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并处五十万元以上五百万元以下罚款</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8DC0463">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第四十七条 </w:t>
      </w:r>
      <w:r>
        <w:rPr>
          <w:rFonts w:hint="eastAsia" w:ascii="微软雅黑" w:hAnsi="微软雅黑" w:eastAsia="微软雅黑" w:cs="微软雅黑"/>
          <w:color w:val="2C2C2C"/>
          <w:sz w:val="24"/>
          <w:szCs w:val="24"/>
          <w:lang w:val="en-US" w:eastAsia="zh-CN"/>
        </w:rPr>
        <w:t>拒绝</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阻碍中国人民银行工作人员依法行使检查监督职权的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由中国人民银行责令改正</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拒不改正的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可以处十万元以上一百万元以下罚款</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0F0905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第四十八条 </w:t>
      </w:r>
      <w:r>
        <w:rPr>
          <w:rFonts w:hint="eastAsia" w:ascii="微软雅黑" w:hAnsi="微软雅黑" w:eastAsia="微软雅黑" w:cs="微软雅黑"/>
          <w:color w:val="2C2C2C"/>
          <w:sz w:val="24"/>
          <w:szCs w:val="24"/>
          <w:lang w:val="en-US" w:eastAsia="zh-CN"/>
        </w:rPr>
        <w:t>当事人对行政处罚不服的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可以依法申请行政复议</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提起行政诉讼</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38118FE7">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第四十九条 </w:t>
      </w:r>
      <w:r>
        <w:rPr>
          <w:rFonts w:hint="eastAsia" w:ascii="微软雅黑" w:hAnsi="微软雅黑" w:eastAsia="微软雅黑" w:cs="微软雅黑"/>
          <w:color w:val="2C2C2C"/>
          <w:sz w:val="24"/>
          <w:szCs w:val="24"/>
          <w:lang w:val="en-US" w:eastAsia="zh-CN"/>
        </w:rPr>
        <w:t>中国人民银行有下列行为之一的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对负有责任的领导人员和直接责任人员</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依法给予处分</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构成犯罪的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依法追究刑事责任</w:t>
      </w:r>
      <w:r>
        <w:rPr>
          <w:rFonts w:hint="default" w:ascii="微软雅黑" w:hAnsi="微软雅黑" w:eastAsia="微软雅黑" w:cs="微软雅黑"/>
          <w:color w:val="2C2C2C"/>
          <w:sz w:val="24"/>
          <w:szCs w:val="24"/>
          <w:lang w:val="en-US" w:eastAsia="zh-CN"/>
        </w:rPr>
        <w:t xml:space="preserve">: </w:t>
      </w:r>
    </w:p>
    <w:p w14:paraId="4138B7CB">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一</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违反本法第二十八条的规定提供贷款</w:t>
      </w:r>
      <w:r>
        <w:rPr>
          <w:rFonts w:hint="default" w:ascii="微软雅黑" w:hAnsi="微软雅黑" w:eastAsia="微软雅黑" w:cs="微软雅黑"/>
          <w:color w:val="2C2C2C"/>
          <w:sz w:val="24"/>
          <w:szCs w:val="24"/>
          <w:lang w:val="en-US" w:eastAsia="zh-CN"/>
        </w:rPr>
        <w:t xml:space="preserve">; </w:t>
      </w:r>
    </w:p>
    <w:p w14:paraId="3CF2E444">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二</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对单位和个人提供担保</w:t>
      </w:r>
      <w:r>
        <w:rPr>
          <w:rFonts w:hint="default" w:ascii="微软雅黑" w:hAnsi="微软雅黑" w:eastAsia="微软雅黑" w:cs="微软雅黑"/>
          <w:color w:val="2C2C2C"/>
          <w:sz w:val="24"/>
          <w:szCs w:val="24"/>
          <w:lang w:val="en-US" w:eastAsia="zh-CN"/>
        </w:rPr>
        <w:t xml:space="preserve">; </w:t>
      </w:r>
    </w:p>
    <w:p w14:paraId="23AAB007">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三</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擅自动用人民币发行基金</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0CAADD8F">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有前款所列行为之一</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造成损失的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负有责任的领导人员和直接责任人员应当承担部分或者全部赔偿责任</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4145FF8F">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第五十条 </w:t>
      </w:r>
      <w:r>
        <w:rPr>
          <w:rFonts w:hint="eastAsia" w:ascii="微软雅黑" w:hAnsi="微软雅黑" w:eastAsia="微软雅黑" w:cs="微软雅黑"/>
          <w:color w:val="2C2C2C"/>
          <w:sz w:val="24"/>
          <w:szCs w:val="24"/>
          <w:lang w:val="en-US" w:eastAsia="zh-CN"/>
        </w:rPr>
        <w:t>中国人民银行的工作人员有下列行为之一的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依法给予处分</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构成犯罪的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依法追究刑事责任</w:t>
      </w:r>
      <w:r>
        <w:rPr>
          <w:rFonts w:hint="default" w:ascii="微软雅黑" w:hAnsi="微软雅黑" w:eastAsia="微软雅黑" w:cs="微软雅黑"/>
          <w:color w:val="2C2C2C"/>
          <w:sz w:val="24"/>
          <w:szCs w:val="24"/>
          <w:lang w:val="en-US" w:eastAsia="zh-CN"/>
        </w:rPr>
        <w:t xml:space="preserve">: </w:t>
      </w:r>
    </w:p>
    <w:p w14:paraId="1BFEEDAC">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一</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违反规定实施行政许可</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行政处罚</w:t>
      </w:r>
      <w:r>
        <w:rPr>
          <w:rFonts w:hint="default" w:ascii="微软雅黑" w:hAnsi="微软雅黑" w:eastAsia="微软雅黑" w:cs="微软雅黑"/>
          <w:color w:val="2C2C2C"/>
          <w:sz w:val="24"/>
          <w:szCs w:val="24"/>
          <w:lang w:val="en-US" w:eastAsia="zh-CN"/>
        </w:rPr>
        <w:t xml:space="preserve">; </w:t>
      </w:r>
    </w:p>
    <w:p w14:paraId="2B31A3D8">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二</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违反规定进行检查</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采取监管措施</w:t>
      </w:r>
      <w:r>
        <w:rPr>
          <w:rFonts w:hint="default" w:ascii="微软雅黑" w:hAnsi="微软雅黑" w:eastAsia="微软雅黑" w:cs="微软雅黑"/>
          <w:color w:val="2C2C2C"/>
          <w:sz w:val="24"/>
          <w:szCs w:val="24"/>
          <w:lang w:val="en-US" w:eastAsia="zh-CN"/>
        </w:rPr>
        <w:t xml:space="preserve">; </w:t>
      </w:r>
    </w:p>
    <w:p w14:paraId="6B7724D0">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三</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泄露因履行职责知悉的国家秘密</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工作秘密</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商业秘密或者个人隐私</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个人信息</w:t>
      </w:r>
      <w:r>
        <w:rPr>
          <w:rFonts w:hint="default" w:ascii="微软雅黑" w:hAnsi="微软雅黑" w:eastAsia="微软雅黑" w:cs="微软雅黑"/>
          <w:color w:val="2C2C2C"/>
          <w:sz w:val="24"/>
          <w:szCs w:val="24"/>
          <w:lang w:val="en-US" w:eastAsia="zh-CN"/>
        </w:rPr>
        <w:t xml:space="preserve">; </w:t>
      </w:r>
    </w:p>
    <w:p w14:paraId="456F2434">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四</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贪污受贿</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徇私舞弊</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滥用职权</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玩忽职守的其他行为</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BA2CFBA">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第五十一条 </w:t>
      </w:r>
      <w:r>
        <w:rPr>
          <w:rFonts w:hint="eastAsia" w:ascii="微软雅黑" w:hAnsi="微软雅黑" w:eastAsia="微软雅黑" w:cs="微软雅黑"/>
          <w:color w:val="2C2C2C"/>
          <w:sz w:val="24"/>
          <w:szCs w:val="24"/>
          <w:lang w:val="en-US" w:eastAsia="zh-CN"/>
        </w:rPr>
        <w:t>地方政府</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各级政府部门</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社会团体和个人强令中国人民银行及其工作人员违反本法第二十八条的规定提供贷款或者担保的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对负有责任的领导人员和直接责任人员</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依法给予处分</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构成犯罪的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依法追究刑事责任</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造成损失的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应当承担部分或者全部赔偿责任</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A34C7AC">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第八章 附 则 </w:t>
      </w:r>
    </w:p>
    <w:p w14:paraId="519F6485">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第五十二条 </w:t>
      </w:r>
      <w:r>
        <w:rPr>
          <w:rFonts w:hint="eastAsia" w:ascii="微软雅黑" w:hAnsi="微软雅黑" w:eastAsia="微软雅黑" w:cs="微软雅黑"/>
          <w:color w:val="2C2C2C"/>
          <w:sz w:val="24"/>
          <w:szCs w:val="24"/>
          <w:lang w:val="en-US" w:eastAsia="zh-CN"/>
        </w:rPr>
        <w:t>本法所称银行业金融机构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是指在中华人民共和国境内设立的商业银行</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农村信用合作社等吸收公众存款的金融机构以及政策性银行</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2D4E21FA">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在中华人民共和国境内设立的金融资产管理公司</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信托公司</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企业集团财务公司</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金融租赁公司以及经国务院银行业监督管理机构批准设立的其他金融机构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适用本法对银行业金融机构的规定</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1BB204C">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第五十三条 </w:t>
      </w:r>
      <w:r>
        <w:rPr>
          <w:rFonts w:hint="eastAsia" w:ascii="微软雅黑" w:hAnsi="微软雅黑" w:eastAsia="微软雅黑" w:cs="微软雅黑"/>
          <w:color w:val="2C2C2C"/>
          <w:sz w:val="24"/>
          <w:szCs w:val="24"/>
          <w:lang w:val="en-US" w:eastAsia="zh-CN"/>
        </w:rPr>
        <w:t>在中华人民共和国境外从事金融活动违反本法规定</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危害我国金融安全</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扰乱境内金融秩序</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损害我国公民</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法人和其他组织合法权益的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依法追究法律责任</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5230D7BF">
      <w:pPr>
        <w:spacing w:after="120" w:line="360" w:lineRule="auto"/>
        <w:ind w:firstLine="480"/>
        <w:rPr>
          <w:rFonts w:hint="default"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任何国家</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地区或者国际组织违反国际法和国际关系基本准则</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在货币</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外汇</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支付等金融领域对我国进行遏制</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打压</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对我国公民</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法人和其他组织采取歧视性的禁止</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限制或者其他类似措施的</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我国有权采取相应阻断</w:t>
      </w:r>
      <w:r>
        <w:rPr>
          <w:rFonts w:hint="default" w:ascii="微软雅黑" w:hAnsi="微软雅黑" w:eastAsia="微软雅黑"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反制措施</w:t>
      </w:r>
      <w:r>
        <w:rPr>
          <w:rFonts w:hint="eastAsia" w:cs="微软雅黑"/>
          <w:color w:val="2C2C2C"/>
          <w:sz w:val="24"/>
          <w:szCs w:val="24"/>
          <w:lang w:val="en-US" w:eastAsia="zh-CN"/>
        </w:rPr>
        <w:t>。</w:t>
      </w:r>
      <w:r>
        <w:rPr>
          <w:rFonts w:hint="default" w:ascii="微软雅黑" w:hAnsi="微软雅黑" w:eastAsia="微软雅黑" w:cs="微软雅黑"/>
          <w:color w:val="2C2C2C"/>
          <w:sz w:val="24"/>
          <w:szCs w:val="24"/>
          <w:lang w:val="en-US" w:eastAsia="zh-CN"/>
        </w:rPr>
        <w:t xml:space="preserve"> </w:t>
      </w:r>
    </w:p>
    <w:p w14:paraId="169A5B33">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 xml:space="preserve">第五十四条 </w:t>
      </w:r>
      <w:r>
        <w:rPr>
          <w:rFonts w:hint="eastAsia" w:ascii="微软雅黑" w:hAnsi="微软雅黑" w:eastAsia="微软雅黑" w:cs="微软雅黑"/>
          <w:color w:val="2C2C2C"/>
          <w:sz w:val="24"/>
          <w:szCs w:val="24"/>
          <w:lang w:val="en-US" w:eastAsia="zh-CN"/>
        </w:rPr>
        <w:t>本法自</w:t>
      </w:r>
      <w:r>
        <w:rPr>
          <w:rFonts w:hint="eastAsia" w:cs="微软雅黑"/>
          <w:color w:val="2C2C2C"/>
          <w:sz w:val="24"/>
          <w:szCs w:val="24"/>
          <w:lang w:val="en-US" w:eastAsia="zh-CN"/>
        </w:rPr>
        <w:t xml:space="preserve">   </w:t>
      </w:r>
      <w:r>
        <w:rPr>
          <w:rFonts w:hint="eastAsia" w:ascii="微软雅黑" w:hAnsi="微软雅黑" w:eastAsia="微软雅黑" w:cs="微软雅黑"/>
          <w:color w:val="2C2C2C"/>
          <w:sz w:val="24"/>
          <w:szCs w:val="24"/>
          <w:lang w:val="en-US" w:eastAsia="zh-CN"/>
        </w:rPr>
        <w:t>年</w:t>
      </w:r>
      <w:r>
        <w:rPr>
          <w:rFonts w:hint="eastAsia" w:cs="微软雅黑"/>
          <w:color w:val="2C2C2C"/>
          <w:sz w:val="24"/>
          <w:szCs w:val="24"/>
          <w:lang w:val="en-US" w:eastAsia="zh-CN"/>
        </w:rPr>
        <w:t xml:space="preserve">   </w:t>
      </w:r>
      <w:r>
        <w:rPr>
          <w:rFonts w:hint="eastAsia" w:ascii="微软雅黑" w:hAnsi="微软雅黑" w:eastAsia="微软雅黑" w:cs="微软雅黑"/>
          <w:color w:val="2C2C2C"/>
          <w:sz w:val="24"/>
          <w:szCs w:val="24"/>
          <w:lang w:val="en-US" w:eastAsia="zh-CN"/>
        </w:rPr>
        <w:t>月</w:t>
      </w:r>
      <w:r>
        <w:rPr>
          <w:rFonts w:hint="eastAsia" w:cs="微软雅黑"/>
          <w:color w:val="2C2C2C"/>
          <w:sz w:val="24"/>
          <w:szCs w:val="24"/>
          <w:lang w:val="en-US" w:eastAsia="zh-CN"/>
        </w:rPr>
        <w:t xml:space="preserve">   </w:t>
      </w:r>
      <w:r>
        <w:rPr>
          <w:rFonts w:hint="eastAsia" w:ascii="微软雅黑" w:hAnsi="微软雅黑" w:eastAsia="微软雅黑" w:cs="微软雅黑"/>
          <w:color w:val="2C2C2C"/>
          <w:sz w:val="24"/>
          <w:szCs w:val="24"/>
          <w:lang w:val="en-US" w:eastAsia="zh-CN"/>
        </w:rPr>
        <w:t>日起施行</w:t>
      </w:r>
      <w:r>
        <w:rPr>
          <w:rFonts w:hint="eastAsia" w:cs="微软雅黑"/>
          <w:color w:val="2C2C2C"/>
          <w:sz w:val="24"/>
          <w:szCs w:val="24"/>
          <w:lang w:val="en-US" w:eastAsia="zh-CN"/>
        </w:rPr>
        <w:t>。</w:t>
      </w:r>
    </w:p>
    <w:p w14:paraId="10C592DB">
      <w:pPr>
        <w:pStyle w:val="4"/>
        <w:keepNext/>
        <w:keepLines/>
        <w:spacing w:before="400" w:after="200"/>
        <w:rPr>
          <w:rFonts w:ascii="黑体" w:hAnsi="黑体" w:eastAsia="黑体" w:cs="黑体"/>
          <w:b/>
          <w:bCs/>
          <w:color w:val="1B3A5C"/>
          <w:sz w:val="26"/>
          <w:szCs w:val="26"/>
        </w:rPr>
      </w:pPr>
    </w:p>
    <w:p w14:paraId="5C163202">
      <w:pPr>
        <w:rPr>
          <w:rFonts w:ascii="黑体" w:hAnsi="黑体" w:eastAsia="黑体" w:cs="黑体"/>
          <w:b/>
          <w:bCs/>
          <w:color w:val="1B3A5C"/>
          <w:sz w:val="26"/>
          <w:szCs w:val="26"/>
        </w:rPr>
      </w:pPr>
    </w:p>
    <w:p w14:paraId="2AF5C247">
      <w:pPr>
        <w:rPr>
          <w:rFonts w:ascii="黑体" w:hAnsi="黑体" w:eastAsia="黑体" w:cs="黑体"/>
          <w:b/>
          <w:bCs/>
          <w:color w:val="1B3A5C"/>
          <w:sz w:val="26"/>
          <w:szCs w:val="26"/>
        </w:rPr>
      </w:pPr>
    </w:p>
    <w:p w14:paraId="269E4057">
      <w:pPr>
        <w:rPr>
          <w:rFonts w:ascii="黑体" w:hAnsi="黑体" w:eastAsia="黑体" w:cs="黑体"/>
          <w:b/>
          <w:bCs/>
          <w:color w:val="1B3A5C"/>
          <w:sz w:val="26"/>
          <w:szCs w:val="26"/>
        </w:rPr>
      </w:pPr>
    </w:p>
    <w:p w14:paraId="78E84046">
      <w:pPr>
        <w:rPr>
          <w:rFonts w:ascii="黑体" w:hAnsi="黑体" w:eastAsia="黑体" w:cs="黑体"/>
          <w:b/>
          <w:bCs/>
          <w:color w:val="1B3A5C"/>
          <w:sz w:val="26"/>
          <w:szCs w:val="26"/>
        </w:rPr>
      </w:pPr>
    </w:p>
    <w:p w14:paraId="1D98B502">
      <w:pPr>
        <w:rPr>
          <w:rFonts w:ascii="黑体" w:hAnsi="黑体" w:eastAsia="黑体" w:cs="黑体"/>
          <w:b/>
          <w:bCs/>
          <w:color w:val="1B3A5C"/>
          <w:sz w:val="26"/>
          <w:szCs w:val="26"/>
        </w:rPr>
      </w:pPr>
    </w:p>
    <w:p w14:paraId="15827A94">
      <w:pPr>
        <w:rPr>
          <w:rFonts w:ascii="黑体" w:hAnsi="黑体" w:eastAsia="黑体" w:cs="黑体"/>
          <w:b/>
          <w:bCs/>
          <w:color w:val="1B3A5C"/>
          <w:sz w:val="26"/>
          <w:szCs w:val="26"/>
        </w:rPr>
      </w:pPr>
    </w:p>
    <w:p w14:paraId="250C0042">
      <w:pPr>
        <w:rPr>
          <w:rFonts w:ascii="黑体" w:hAnsi="黑体" w:eastAsia="黑体" w:cs="黑体"/>
          <w:b/>
          <w:bCs/>
          <w:color w:val="1B3A5C"/>
          <w:sz w:val="26"/>
          <w:szCs w:val="26"/>
        </w:rPr>
      </w:pPr>
    </w:p>
    <w:p w14:paraId="1A191AE9">
      <w:pPr>
        <w:rPr>
          <w:rFonts w:ascii="黑体" w:hAnsi="黑体" w:eastAsia="黑体" w:cs="黑体"/>
          <w:b/>
          <w:bCs/>
          <w:color w:val="1B3A5C"/>
          <w:sz w:val="26"/>
          <w:szCs w:val="26"/>
        </w:rPr>
      </w:pPr>
    </w:p>
    <w:p w14:paraId="6C83E313">
      <w:pPr>
        <w:pStyle w:val="4"/>
        <w:keepNext/>
        <w:keepLines/>
        <w:spacing w:before="400" w:after="200"/>
      </w:pPr>
      <w:r>
        <w:rPr>
          <w:rFonts w:ascii="黑体" w:hAnsi="黑体" w:eastAsia="黑体" w:cs="黑体"/>
          <w:b/>
          <w:bCs/>
          <w:color w:val="1B3A5C"/>
          <w:sz w:val="26"/>
          <w:szCs w:val="26"/>
        </w:rPr>
        <w:t>修订重点方向</w:t>
      </w:r>
    </w:p>
    <w:p w14:paraId="6B453C01">
      <w:pPr>
        <w:spacing w:after="120" w:line="360" w:lineRule="auto"/>
        <w:ind w:firstLine="480"/>
        <w:rPr>
          <w:sz w:val="24"/>
          <w:szCs w:val="24"/>
        </w:rPr>
      </w:pPr>
      <w:r>
        <w:rPr>
          <w:rFonts w:ascii="微软雅黑" w:hAnsi="微软雅黑" w:eastAsia="微软雅黑" w:cs="微软雅黑"/>
          <w:color w:val="2C2C2C"/>
          <w:sz w:val="24"/>
          <w:szCs w:val="24"/>
        </w:rPr>
        <w:t>1</w:t>
      </w:r>
      <w:r>
        <w:rPr>
          <w:rFonts w:hint="eastAsia" w:cs="微软雅黑"/>
          <w:color w:val="2C2C2C"/>
          <w:sz w:val="24"/>
          <w:szCs w:val="24"/>
          <w:lang w:val="en-US" w:eastAsia="zh-CN"/>
        </w:rPr>
        <w:t>.</w:t>
      </w:r>
      <w:r>
        <w:rPr>
          <w:rFonts w:ascii="微软雅黑" w:hAnsi="微软雅黑" w:eastAsia="微软雅黑" w:cs="微软雅黑"/>
          <w:color w:val="2C2C2C"/>
          <w:sz w:val="24"/>
          <w:szCs w:val="24"/>
        </w:rPr>
        <w:t xml:space="preserve"> 完善银行业监管体制，与金融法确立的"五大监管"原则相衔接，明确监管权责边界。</w:t>
      </w:r>
    </w:p>
    <w:p w14:paraId="2EB33858">
      <w:pPr>
        <w:spacing w:after="120" w:line="360" w:lineRule="auto"/>
        <w:ind w:firstLine="480"/>
        <w:rPr>
          <w:sz w:val="24"/>
          <w:szCs w:val="24"/>
        </w:rPr>
      </w:pPr>
      <w:r>
        <w:rPr>
          <w:rFonts w:ascii="微软雅黑" w:hAnsi="微软雅黑" w:eastAsia="微软雅黑" w:cs="微软雅黑"/>
          <w:color w:val="2C2C2C"/>
          <w:sz w:val="24"/>
          <w:szCs w:val="24"/>
        </w:rPr>
        <w:t>2</w:t>
      </w:r>
      <w:r>
        <w:rPr>
          <w:rFonts w:hint="eastAsia" w:cs="微软雅黑"/>
          <w:color w:val="2C2C2C"/>
          <w:sz w:val="24"/>
          <w:szCs w:val="24"/>
          <w:lang w:val="en-US" w:eastAsia="zh-CN"/>
        </w:rPr>
        <w:t>.</w:t>
      </w:r>
      <w:r>
        <w:rPr>
          <w:rFonts w:ascii="微软雅黑" w:hAnsi="微软雅黑" w:eastAsia="微软雅黑" w:cs="微软雅黑"/>
          <w:color w:val="2C2C2C"/>
          <w:sz w:val="24"/>
          <w:szCs w:val="24"/>
        </w:rPr>
        <w:t xml:space="preserve"> 强化系统性风险防控，充实系统重要性银行附加监管要求，完善逆周期资本缓冲机制。</w:t>
      </w:r>
    </w:p>
    <w:p w14:paraId="43BB6F1A">
      <w:pPr>
        <w:spacing w:after="120" w:line="360" w:lineRule="auto"/>
        <w:ind w:firstLine="480"/>
        <w:rPr>
          <w:sz w:val="24"/>
          <w:szCs w:val="24"/>
        </w:rPr>
      </w:pPr>
      <w:r>
        <w:rPr>
          <w:rFonts w:ascii="微软雅黑" w:hAnsi="微软雅黑" w:eastAsia="微软雅黑" w:cs="微软雅黑"/>
          <w:color w:val="2C2C2C"/>
          <w:sz w:val="24"/>
          <w:szCs w:val="24"/>
        </w:rPr>
        <w:t>3</w:t>
      </w:r>
      <w:r>
        <w:rPr>
          <w:rFonts w:hint="eastAsia" w:cs="微软雅黑"/>
          <w:color w:val="2C2C2C"/>
          <w:sz w:val="24"/>
          <w:szCs w:val="24"/>
          <w:lang w:val="en-US" w:eastAsia="zh-CN"/>
        </w:rPr>
        <w:t>.</w:t>
      </w:r>
      <w:r>
        <w:rPr>
          <w:rFonts w:ascii="微软雅黑" w:hAnsi="微软雅黑" w:eastAsia="微软雅黑" w:cs="微软雅黑"/>
          <w:color w:val="2C2C2C"/>
          <w:sz w:val="24"/>
          <w:szCs w:val="24"/>
        </w:rPr>
        <w:t xml:space="preserve"> 健全银行风险处置机制，建立早期干预、接管、破产清算的全链条处置制度，明确不同层级处置主体职责。</w:t>
      </w:r>
    </w:p>
    <w:p w14:paraId="69200864">
      <w:pPr>
        <w:spacing w:after="120" w:line="360" w:lineRule="auto"/>
        <w:ind w:firstLine="480"/>
        <w:rPr>
          <w:sz w:val="24"/>
          <w:szCs w:val="24"/>
        </w:rPr>
      </w:pPr>
      <w:r>
        <w:rPr>
          <w:rFonts w:ascii="微软雅黑" w:hAnsi="微软雅黑" w:eastAsia="微软雅黑" w:cs="微软雅黑"/>
          <w:color w:val="2C2C2C"/>
          <w:sz w:val="24"/>
          <w:szCs w:val="24"/>
        </w:rPr>
        <w:t>4</w:t>
      </w:r>
      <w:r>
        <w:rPr>
          <w:rFonts w:hint="eastAsia" w:cs="微软雅黑"/>
          <w:color w:val="2C2C2C"/>
          <w:sz w:val="24"/>
          <w:szCs w:val="24"/>
          <w:lang w:val="en-US" w:eastAsia="zh-CN"/>
        </w:rPr>
        <w:t>.</w:t>
      </w:r>
      <w:r>
        <w:rPr>
          <w:rFonts w:ascii="微软雅黑" w:hAnsi="微软雅黑" w:eastAsia="微软雅黑" w:cs="微软雅黑"/>
          <w:color w:val="2C2C2C"/>
          <w:sz w:val="24"/>
          <w:szCs w:val="24"/>
        </w:rPr>
        <w:t>加强金融消费者权益保护，规范银行销售行为，完善存款保险制度的配套法律保障。</w:t>
      </w:r>
    </w:p>
    <w:p w14:paraId="03B64553">
      <w:pPr>
        <w:spacing w:after="120" w:line="360" w:lineRule="auto"/>
        <w:ind w:firstLine="480"/>
        <w:rPr>
          <w:rFonts w:hint="eastAsia" w:ascii="微软雅黑" w:hAnsi="微软雅黑" w:eastAsia="微软雅黑" w:cs="微软雅黑"/>
          <w:color w:val="2C2C2C"/>
          <w:sz w:val="21"/>
          <w:szCs w:val="21"/>
          <w:lang w:val="en-US" w:eastAsia="zh-CN"/>
        </w:rPr>
      </w:pPr>
      <w:bookmarkStart w:id="10" w:name="_practice"/>
    </w:p>
    <w:p w14:paraId="2CC09ADD">
      <w:pPr>
        <w:spacing w:after="120" w:line="360" w:lineRule="auto"/>
        <w:ind w:firstLine="480"/>
        <w:rPr>
          <w:rFonts w:hint="eastAsia" w:ascii="微软雅黑" w:hAnsi="微软雅黑" w:eastAsia="微软雅黑" w:cs="微软雅黑"/>
          <w:color w:val="2C2C2C"/>
          <w:sz w:val="21"/>
          <w:szCs w:val="21"/>
          <w:lang w:val="en-US" w:eastAsia="zh-CN"/>
        </w:rPr>
      </w:pPr>
    </w:p>
    <w:p w14:paraId="157245E7">
      <w:pPr>
        <w:pStyle w:val="2"/>
        <w:keepNext/>
        <w:keepLines/>
        <w:spacing w:before="400" w:after="200"/>
        <w:rPr>
          <w:rFonts w:hint="eastAsia" w:cs="黑体"/>
          <w:b/>
          <w:bCs/>
          <w:color w:val="1B3A5C"/>
          <w:sz w:val="40"/>
          <w:szCs w:val="40"/>
          <w:lang w:val="en-US" w:eastAsia="zh-CN"/>
        </w:rPr>
      </w:pPr>
    </w:p>
    <w:p w14:paraId="2475286F">
      <w:pPr>
        <w:pStyle w:val="2"/>
        <w:keepNext/>
        <w:keepLines/>
        <w:spacing w:before="400" w:after="200"/>
        <w:rPr>
          <w:rFonts w:hint="eastAsia" w:cs="黑体"/>
          <w:b/>
          <w:bCs/>
          <w:color w:val="1B3A5C"/>
          <w:sz w:val="40"/>
          <w:szCs w:val="40"/>
          <w:lang w:val="en-US" w:eastAsia="zh-CN"/>
        </w:rPr>
      </w:pPr>
    </w:p>
    <w:p w14:paraId="45D2042D">
      <w:pPr>
        <w:pStyle w:val="2"/>
        <w:keepNext/>
        <w:keepLines/>
        <w:spacing w:before="400" w:after="200"/>
        <w:rPr>
          <w:rFonts w:hint="eastAsia" w:cs="黑体"/>
          <w:b/>
          <w:bCs/>
          <w:color w:val="1B3A5C"/>
          <w:sz w:val="40"/>
          <w:szCs w:val="40"/>
          <w:lang w:val="en-US" w:eastAsia="zh-CN"/>
        </w:rPr>
      </w:pPr>
    </w:p>
    <w:p w14:paraId="6F9D56C4">
      <w:pPr>
        <w:pStyle w:val="2"/>
        <w:keepNext/>
        <w:keepLines/>
        <w:spacing w:before="400" w:after="200"/>
        <w:rPr>
          <w:rFonts w:hint="eastAsia" w:cs="黑体"/>
          <w:b/>
          <w:bCs/>
          <w:color w:val="1B3A5C"/>
          <w:sz w:val="40"/>
          <w:szCs w:val="40"/>
          <w:lang w:val="en-US" w:eastAsia="zh-CN"/>
        </w:rPr>
      </w:pPr>
    </w:p>
    <w:p w14:paraId="0D801306">
      <w:pPr>
        <w:rPr>
          <w:rFonts w:hint="eastAsia" w:cs="黑体"/>
          <w:b/>
          <w:bCs/>
          <w:color w:val="1B3A5C"/>
          <w:sz w:val="40"/>
          <w:szCs w:val="40"/>
          <w:lang w:val="en-US" w:eastAsia="zh-CN"/>
        </w:rPr>
      </w:pPr>
    </w:p>
    <w:p w14:paraId="774E201A">
      <w:pPr>
        <w:rPr>
          <w:rFonts w:hint="eastAsia" w:cs="黑体"/>
          <w:b/>
          <w:bCs/>
          <w:color w:val="1B3A5C"/>
          <w:sz w:val="40"/>
          <w:szCs w:val="40"/>
          <w:lang w:val="en-US" w:eastAsia="zh-CN"/>
        </w:rPr>
      </w:pPr>
    </w:p>
    <w:p w14:paraId="191C9DEF">
      <w:pPr>
        <w:pStyle w:val="2"/>
        <w:keepNext/>
        <w:keepLines/>
        <w:spacing w:before="400" w:after="200"/>
      </w:pPr>
      <w:r>
        <w:rPr>
          <w:rFonts w:hint="eastAsia" w:cs="黑体"/>
          <w:b/>
          <w:bCs/>
          <w:color w:val="1B3A5C"/>
          <w:sz w:val="40"/>
          <w:szCs w:val="40"/>
          <w:lang w:val="en-US" w:eastAsia="zh-CN"/>
        </w:rPr>
        <w:t>五</w:t>
      </w:r>
      <w:r>
        <w:rPr>
          <w:rFonts w:ascii="黑体" w:hAnsi="黑体" w:eastAsia="黑体" w:cs="黑体"/>
          <w:b/>
          <w:bCs/>
          <w:color w:val="1B3A5C"/>
          <w:sz w:val="40"/>
          <w:szCs w:val="40"/>
        </w:rPr>
        <w:t>、实务热点难点</w:t>
      </w:r>
      <w:bookmarkEnd w:id="10"/>
    </w:p>
    <w:p w14:paraId="71267D7F">
      <w:pPr>
        <w:pStyle w:val="4"/>
        <w:keepNext/>
        <w:keepLines/>
        <w:spacing w:before="400" w:after="200"/>
        <w:rPr>
          <w:rFonts w:ascii="黑体" w:hAnsi="黑体" w:eastAsia="黑体" w:cs="黑体"/>
          <w:b/>
          <w:bCs/>
          <w:color w:val="1B3A5C"/>
          <w:sz w:val="32"/>
          <w:szCs w:val="32"/>
        </w:rPr>
      </w:pPr>
      <w:r>
        <w:rPr>
          <w:rFonts w:hint="default" w:ascii="黑体" w:hAnsi="黑体" w:eastAsia="黑体" w:cs="黑体"/>
          <w:b/>
          <w:bCs/>
          <w:color w:val="1B3A5C"/>
          <w:sz w:val="32"/>
          <w:szCs w:val="32"/>
        </w:rPr>
        <w:t>专题一：涉科技保险案件的法律实务难点</w:t>
      </w:r>
    </w:p>
    <w:p w14:paraId="7227A0EF">
      <w:pPr>
        <w:spacing w:after="120" w:line="360" w:lineRule="auto"/>
        <w:ind w:firstLine="480"/>
        <w:rPr>
          <w:rFonts w:ascii="微软雅黑" w:hAnsi="微软雅黑" w:eastAsia="微软雅黑" w:cs="微软雅黑"/>
          <w:color w:val="2C2C2C"/>
          <w:sz w:val="24"/>
          <w:szCs w:val="24"/>
        </w:rPr>
      </w:pPr>
      <w:r>
        <w:rPr>
          <w:rFonts w:ascii="微软雅黑" w:hAnsi="微软雅黑" w:eastAsia="微软雅黑" w:cs="微软雅黑"/>
          <w:color w:val="2C2C2C"/>
          <w:sz w:val="24"/>
          <w:szCs w:val="24"/>
        </w:rPr>
        <w:t>2026年7月8日，北京金融法院联合北京经济技术开发区管委会发布7件涉科技保险典型案例。案件涉及卫星发射与在轨保险、首台（套）重大技术装备保险、光伏设施保险、新能源汽车保险等前沿领域。案件呈逐年上升趋势，技术门槛高、跨界属性强。</w:t>
      </w:r>
    </w:p>
    <w:p w14:paraId="4250A920">
      <w:pPr>
        <w:spacing w:after="120" w:line="360" w:lineRule="auto"/>
        <w:ind w:firstLine="480" w:firstLineChars="200"/>
        <w:rPr>
          <w:rFonts w:hint="eastAsia" w:ascii="微软雅黑" w:hAnsi="微软雅黑" w:eastAsia="微软雅黑" w:cs="微软雅黑"/>
          <w:b/>
          <w:bCs/>
          <w:color w:val="2C2C2C"/>
          <w:sz w:val="24"/>
          <w:szCs w:val="24"/>
          <w:lang w:eastAsia="zh-CN"/>
        </w:rPr>
      </w:pPr>
      <w:r>
        <w:rPr>
          <w:rFonts w:hint="eastAsia" w:ascii="微软雅黑" w:hAnsi="微软雅黑" w:eastAsia="微软雅黑" w:cs="微软雅黑"/>
          <w:b/>
          <w:bCs/>
          <w:color w:val="2C2C2C"/>
          <w:sz w:val="24"/>
          <w:szCs w:val="24"/>
          <w:lang w:eastAsia="zh-CN"/>
        </w:rPr>
        <w:t>核心法律难点</w:t>
      </w:r>
    </w:p>
    <w:p w14:paraId="03219378">
      <w:pPr>
        <w:spacing w:after="120" w:line="360" w:lineRule="auto"/>
        <w:ind w:firstLine="480"/>
        <w:rPr>
          <w:rFonts w:hint="eastAsia" w:ascii="微软雅黑" w:hAnsi="微软雅黑" w:eastAsia="微软雅黑" w:cs="微软雅黑"/>
          <w:b/>
          <w:bCs/>
          <w:color w:val="2C2C2C"/>
          <w:sz w:val="24"/>
          <w:szCs w:val="24"/>
          <w:lang w:eastAsia="zh-CN"/>
        </w:rPr>
      </w:pPr>
      <w:r>
        <w:rPr>
          <w:rFonts w:hint="eastAsia" w:ascii="微软雅黑" w:hAnsi="微软雅黑" w:eastAsia="微软雅黑" w:cs="微软雅黑"/>
          <w:b/>
          <w:bCs/>
          <w:color w:val="2C2C2C"/>
          <w:sz w:val="24"/>
          <w:szCs w:val="24"/>
          <w:lang w:eastAsia="zh-CN"/>
        </w:rPr>
        <w:t>（一）定损环节的技术标准缺失</w:t>
      </w:r>
    </w:p>
    <w:p w14:paraId="48D8AB53">
      <w:pPr>
        <w:spacing w:after="120" w:line="360" w:lineRule="auto"/>
        <w:ind w:firstLine="480"/>
        <w:rPr>
          <w:rFonts w:hint="eastAsia" w:ascii="微软雅黑" w:hAnsi="微软雅黑" w:eastAsia="微软雅黑" w:cs="微软雅黑"/>
          <w:color w:val="2C2C2C"/>
          <w:sz w:val="24"/>
          <w:szCs w:val="24"/>
          <w:lang w:eastAsia="zh-CN"/>
        </w:rPr>
      </w:pPr>
      <w:r>
        <w:rPr>
          <w:rFonts w:hint="eastAsia" w:ascii="微软雅黑" w:hAnsi="微软雅黑" w:eastAsia="微软雅黑" w:cs="微软雅黑"/>
          <w:color w:val="2C2C2C"/>
          <w:sz w:val="24"/>
          <w:szCs w:val="24"/>
          <w:lang w:eastAsia="zh-CN"/>
        </w:rPr>
        <w:t>以新能源汽车动力电池定损为例：动力电池占整车价值比重高（通常达30%—40%），但“全损”与“可修复”的认定标准模糊。北京金融法院明确：必须贯彻“实质判断原则”，以专业拆解检验结论为依据，摒弃传统“以貌取车”的粗放定损方式。</w:t>
      </w:r>
    </w:p>
    <w:p w14:paraId="6811A3CB">
      <w:pPr>
        <w:spacing w:after="120" w:line="360" w:lineRule="auto"/>
        <w:ind w:firstLine="480"/>
        <w:rPr>
          <w:rFonts w:hint="eastAsia" w:ascii="微软雅黑" w:hAnsi="微软雅黑" w:eastAsia="微软雅黑" w:cs="微软雅黑"/>
          <w:b/>
          <w:bCs/>
          <w:color w:val="2C2C2C"/>
          <w:sz w:val="24"/>
          <w:szCs w:val="24"/>
          <w:lang w:eastAsia="zh-CN"/>
        </w:rPr>
      </w:pPr>
      <w:r>
        <w:rPr>
          <w:rFonts w:hint="eastAsia" w:ascii="微软雅黑" w:hAnsi="微软雅黑" w:eastAsia="微软雅黑" w:cs="微软雅黑"/>
          <w:b/>
          <w:bCs/>
          <w:color w:val="2C2C2C"/>
          <w:sz w:val="24"/>
          <w:szCs w:val="24"/>
          <w:lang w:eastAsia="zh-CN"/>
        </w:rPr>
        <w:t>（二）保险合同条款的适用争议</w:t>
      </w:r>
    </w:p>
    <w:p w14:paraId="03A7CAFE">
      <w:pPr>
        <w:spacing w:after="120" w:line="360" w:lineRule="auto"/>
        <w:ind w:firstLine="480"/>
        <w:rPr>
          <w:rFonts w:hint="eastAsia" w:ascii="微软雅黑" w:hAnsi="微软雅黑" w:eastAsia="微软雅黑" w:cs="微软雅黑"/>
          <w:color w:val="2C2C2C"/>
          <w:sz w:val="24"/>
          <w:szCs w:val="24"/>
          <w:lang w:eastAsia="zh-CN"/>
        </w:rPr>
      </w:pPr>
      <w:r>
        <w:rPr>
          <w:rFonts w:hint="eastAsia" w:ascii="微软雅黑" w:hAnsi="微软雅黑" w:eastAsia="微软雅黑" w:cs="微软雅黑"/>
          <w:color w:val="2C2C2C"/>
          <w:sz w:val="24"/>
          <w:szCs w:val="24"/>
          <w:lang w:eastAsia="zh-CN"/>
        </w:rPr>
        <w:t>首台（套）重大技术装备保险中，“质量缺陷”与“正常使用损耗”的界限争议极大。法院认定不能简单适用传统产品责任的法律标准，应充分考虑“首台”属性所带来的技术不确定性。</w:t>
      </w:r>
    </w:p>
    <w:p w14:paraId="04D6003D">
      <w:pPr>
        <w:spacing w:after="120" w:line="360" w:lineRule="auto"/>
        <w:ind w:firstLine="480"/>
        <w:rPr>
          <w:rFonts w:hint="eastAsia" w:ascii="微软雅黑" w:hAnsi="微软雅黑" w:eastAsia="微软雅黑" w:cs="微软雅黑"/>
          <w:b/>
          <w:bCs/>
          <w:color w:val="2C2C2C"/>
          <w:sz w:val="24"/>
          <w:szCs w:val="24"/>
          <w:lang w:eastAsia="zh-CN"/>
        </w:rPr>
      </w:pPr>
      <w:r>
        <w:rPr>
          <w:rFonts w:hint="eastAsia" w:ascii="微软雅黑" w:hAnsi="微软雅黑" w:eastAsia="微软雅黑" w:cs="微软雅黑"/>
          <w:b/>
          <w:bCs/>
          <w:color w:val="2C2C2C"/>
          <w:sz w:val="24"/>
          <w:szCs w:val="24"/>
          <w:lang w:eastAsia="zh-CN"/>
        </w:rPr>
        <w:t>（三）跨界事实认定对专业能力提出挑战</w:t>
      </w:r>
    </w:p>
    <w:p w14:paraId="27CBF3AA">
      <w:pPr>
        <w:spacing w:after="120" w:line="360" w:lineRule="auto"/>
        <w:ind w:firstLine="480"/>
        <w:rPr>
          <w:rFonts w:hint="eastAsia" w:ascii="微软雅黑" w:hAnsi="微软雅黑" w:eastAsia="微软雅黑" w:cs="微软雅黑"/>
          <w:color w:val="2C2C2C"/>
          <w:sz w:val="24"/>
          <w:szCs w:val="24"/>
          <w:lang w:eastAsia="zh-CN"/>
        </w:rPr>
      </w:pPr>
      <w:r>
        <w:rPr>
          <w:rFonts w:hint="eastAsia" w:ascii="微软雅黑" w:hAnsi="微软雅黑" w:eastAsia="微软雅黑" w:cs="微软雅黑"/>
          <w:color w:val="2C2C2C"/>
          <w:sz w:val="24"/>
          <w:szCs w:val="24"/>
          <w:lang w:eastAsia="zh-CN"/>
        </w:rPr>
        <w:t>涉科技保险案件要求律师具备 “法律+技术”的双重视角，学会与技术专家有效沟通、善用专家辅助人制度。</w:t>
      </w:r>
    </w:p>
    <w:p w14:paraId="2A6FD8A9">
      <w:pPr>
        <w:spacing w:after="120" w:line="360" w:lineRule="auto"/>
        <w:ind w:firstLine="480"/>
        <w:rPr>
          <w:rFonts w:hint="eastAsia" w:ascii="微软雅黑" w:hAnsi="微软雅黑" w:eastAsia="微软雅黑" w:cs="微软雅黑"/>
          <w:color w:val="2C2C2C"/>
          <w:sz w:val="24"/>
          <w:szCs w:val="24"/>
          <w:lang w:eastAsia="zh-CN"/>
        </w:rPr>
      </w:pPr>
    </w:p>
    <w:p w14:paraId="2CC8A2B0">
      <w:pPr>
        <w:pStyle w:val="3"/>
        <w:keepNext/>
        <w:keepLines/>
        <w:spacing w:before="400" w:after="200"/>
        <w:rPr>
          <w:rFonts w:ascii="黑体" w:hAnsi="黑体" w:eastAsia="黑体" w:cs="黑体"/>
          <w:b/>
          <w:bCs/>
          <w:color w:val="1B3A5C"/>
          <w:sz w:val="32"/>
          <w:szCs w:val="32"/>
        </w:rPr>
      </w:pPr>
      <w:r>
        <w:rPr>
          <w:rFonts w:hint="default" w:ascii="黑体" w:hAnsi="黑体" w:eastAsia="黑体" w:cs="黑体"/>
          <w:b/>
          <w:bCs/>
          <w:color w:val="1B3A5C"/>
          <w:sz w:val="32"/>
          <w:szCs w:val="32"/>
        </w:rPr>
        <w:t>专题二：人民法院案例库</w:t>
      </w:r>
      <w:r>
        <w:rPr>
          <w:rFonts w:ascii="黑体" w:hAnsi="黑体" w:eastAsia="黑体" w:cs="黑体"/>
          <w:b/>
          <w:bCs/>
          <w:color w:val="1B3A5C"/>
          <w:sz w:val="32"/>
          <w:szCs w:val="32"/>
        </w:rPr>
        <w:t>金融借款合同纠纷与保险合同纠纷</w:t>
      </w:r>
      <w:r>
        <w:rPr>
          <w:rFonts w:hint="default" w:ascii="黑体" w:hAnsi="黑体" w:eastAsia="黑体" w:cs="黑体"/>
          <w:b/>
          <w:bCs/>
          <w:color w:val="1B3A5C"/>
          <w:sz w:val="32"/>
          <w:szCs w:val="32"/>
        </w:rPr>
        <w:t>典型案例选编</w:t>
      </w:r>
    </w:p>
    <w:p w14:paraId="3539FD53">
      <w:pPr>
        <w:spacing w:after="120" w:line="360" w:lineRule="auto"/>
        <w:ind w:firstLine="480"/>
        <w:rPr>
          <w:rFonts w:hint="default" w:ascii="黑体" w:hAnsi="黑体" w:eastAsia="黑体" w:cs="黑体"/>
          <w:b/>
          <w:bCs/>
          <w:color w:val="1B3A5C"/>
          <w:sz w:val="24"/>
          <w:szCs w:val="24"/>
        </w:rPr>
      </w:pPr>
      <w:r>
        <w:rPr>
          <w:rFonts w:ascii="微软雅黑" w:hAnsi="微软雅黑" w:eastAsia="微软雅黑" w:cs="微软雅黑"/>
          <w:b/>
          <w:bCs/>
          <w:color w:val="2C2C2C"/>
          <w:sz w:val="24"/>
          <w:szCs w:val="24"/>
        </w:rPr>
        <w:t>编者按</w:t>
      </w:r>
      <w:r>
        <w:rPr>
          <w:rFonts w:hint="default" w:ascii="微软雅黑" w:hAnsi="微软雅黑" w:eastAsia="微软雅黑" w:cs="微软雅黑"/>
          <w:b/>
          <w:bCs/>
          <w:color w:val="2C2C2C"/>
          <w:sz w:val="24"/>
          <w:szCs w:val="24"/>
        </w:rPr>
        <w:t>：</w:t>
      </w:r>
      <w:r>
        <w:rPr>
          <w:rFonts w:hint="default" w:ascii="微软雅黑" w:hAnsi="微软雅黑" w:eastAsia="微软雅黑" w:cs="微软雅黑"/>
          <w:color w:val="2C2C2C"/>
          <w:sz w:val="24"/>
          <w:szCs w:val="24"/>
        </w:rPr>
        <w:t>人民法院案例库收录的案例系经最高人民法院审核认为对类案审判具有参考示范价值的权威案例。本期</w:t>
      </w:r>
      <w:r>
        <w:rPr>
          <w:rFonts w:hint="eastAsia" w:cs="微软雅黑"/>
          <w:color w:val="2C2C2C"/>
          <w:sz w:val="24"/>
          <w:szCs w:val="24"/>
          <w:lang w:val="en-US" w:eastAsia="zh-CN"/>
        </w:rPr>
        <w:t>共计</w:t>
      </w:r>
      <w:r>
        <w:rPr>
          <w:rFonts w:hint="default" w:ascii="微软雅黑" w:hAnsi="微软雅黑" w:eastAsia="微软雅黑" w:cs="微软雅黑"/>
          <w:color w:val="2C2C2C"/>
          <w:sz w:val="24"/>
          <w:szCs w:val="24"/>
        </w:rPr>
        <w:t>精选</w:t>
      </w:r>
      <w:r>
        <w:rPr>
          <w:rFonts w:hint="eastAsia" w:cs="微软雅黑"/>
          <w:color w:val="2C2C2C"/>
          <w:sz w:val="24"/>
          <w:szCs w:val="24"/>
          <w:lang w:val="en-US" w:eastAsia="zh-CN"/>
        </w:rPr>
        <w:t>20</w:t>
      </w:r>
      <w:r>
        <w:rPr>
          <w:rFonts w:hint="default" w:ascii="微软雅黑" w:hAnsi="微软雅黑" w:eastAsia="微软雅黑" w:cs="微软雅黑"/>
          <w:color w:val="2C2C2C"/>
          <w:sz w:val="24"/>
          <w:szCs w:val="24"/>
        </w:rPr>
        <w:t>件典型案例</w:t>
      </w:r>
      <w:r>
        <w:rPr>
          <w:rFonts w:hint="default" w:ascii="Segoe UI" w:hAnsi="Segoe UI" w:eastAsia="Segoe UI" w:cs="Segoe UI"/>
          <w:i w:val="0"/>
          <w:iCs w:val="0"/>
          <w:caps w:val="0"/>
          <w:color w:val="0F1115"/>
          <w:spacing w:val="0"/>
          <w:sz w:val="24"/>
          <w:szCs w:val="24"/>
          <w:shd w:val="clear" w:fill="FFFFFF"/>
        </w:rPr>
        <w:t>。</w:t>
      </w:r>
    </w:p>
    <w:p w14:paraId="35F30053">
      <w:pPr>
        <w:pStyle w:val="4"/>
        <w:keepNext/>
        <w:keepLines/>
        <w:spacing w:before="400" w:after="200"/>
      </w:pPr>
      <w:r>
        <w:rPr>
          <w:rFonts w:ascii="黑体" w:hAnsi="黑体" w:eastAsia="黑体" w:cs="黑体"/>
          <w:b/>
          <w:bCs/>
          <w:color w:val="1B3A5C"/>
          <w:sz w:val="26"/>
          <w:szCs w:val="26"/>
        </w:rPr>
        <w:t>金融借款合同纠纷典型案例</w:t>
      </w:r>
    </w:p>
    <w:p w14:paraId="43FFEEAC">
      <w:pPr>
        <w:numPr>
          <w:ilvl w:val="0"/>
          <w:numId w:val="0"/>
        </w:numPr>
        <w:spacing w:after="120" w:line="360" w:lineRule="auto"/>
        <w:jc w:val="center"/>
        <w:rPr>
          <w:rFonts w:ascii="微软雅黑" w:hAnsi="微软雅黑" w:eastAsia="微软雅黑" w:cs="微软雅黑"/>
          <w:b/>
          <w:bCs/>
          <w:color w:val="2C2C2C"/>
          <w:sz w:val="24"/>
          <w:szCs w:val="24"/>
          <w:lang w:val="en-US" w:eastAsia="zh-CN"/>
        </w:rPr>
      </w:pPr>
      <w:r>
        <w:rPr>
          <w:rFonts w:ascii="微软雅黑" w:hAnsi="微软雅黑" w:eastAsia="微软雅黑" w:cs="微软雅黑"/>
          <w:b/>
          <w:bCs/>
          <w:color w:val="2C2C2C"/>
          <w:sz w:val="24"/>
          <w:szCs w:val="24"/>
          <w:lang w:val="en-US" w:eastAsia="zh-CN"/>
        </w:rPr>
        <w:t>1.某股份银行湖北分行诉某典当公司等金融借款合同纠纷案</w:t>
      </w:r>
    </w:p>
    <w:p w14:paraId="009CB650">
      <w:pPr>
        <w:numPr>
          <w:ilvl w:val="0"/>
          <w:numId w:val="0"/>
        </w:numPr>
        <w:spacing w:after="120" w:line="360" w:lineRule="auto"/>
        <w:jc w:val="both"/>
        <w:rPr>
          <w:rFonts w:ascii="微软雅黑" w:hAnsi="微软雅黑" w:eastAsia="微软雅黑" w:cs="微软雅黑"/>
          <w:b/>
          <w:bCs/>
          <w:color w:val="2C2C2C"/>
          <w:sz w:val="24"/>
          <w:szCs w:val="24"/>
          <w:lang w:val="en-US" w:eastAsia="zh-CN"/>
        </w:rPr>
      </w:pPr>
      <w:r>
        <w:rPr>
          <w:rFonts w:ascii="微软雅黑" w:hAnsi="微软雅黑" w:eastAsia="微软雅黑" w:cs="微软雅黑"/>
          <w:b/>
          <w:bCs/>
          <w:color w:val="2C2C2C"/>
          <w:sz w:val="24"/>
          <w:szCs w:val="24"/>
          <w:lang w:val="en-US" w:eastAsia="zh-CN"/>
        </w:rPr>
        <w:t>——在原告请求减少诉讼请求标的额未获准许的情况下，一审法院虽支</w:t>
      </w:r>
      <w:r>
        <w:rPr>
          <w:rFonts w:hint="eastAsia" w:ascii="微软雅黑" w:hAnsi="微软雅黑" w:eastAsia="微软雅黑" w:cs="微软雅黑"/>
          <w:b/>
          <w:bCs/>
          <w:color w:val="2C2C2C"/>
          <w:sz w:val="24"/>
          <w:szCs w:val="24"/>
          <w:lang w:val="en-US" w:eastAsia="zh-CN"/>
        </w:rPr>
        <w:t>持了原告的全部诉讼请求，原告仍具有上诉利益</w:t>
      </w:r>
    </w:p>
    <w:p w14:paraId="41DAE80B">
      <w:pPr>
        <w:spacing w:after="120" w:line="360" w:lineRule="auto"/>
        <w:jc w:val="right"/>
        <w:rPr>
          <w:sz w:val="24"/>
          <w:szCs w:val="24"/>
        </w:rPr>
      </w:pPr>
      <w:r>
        <w:rPr>
          <w:sz w:val="24"/>
          <w:szCs w:val="24"/>
          <w:lang w:val="en-US" w:eastAsia="zh-CN"/>
        </w:rPr>
        <w:t>2023-08-2-103-001</w:t>
      </w:r>
    </w:p>
    <w:p w14:paraId="6CF73028">
      <w:pPr>
        <w:spacing w:after="120" w:line="360" w:lineRule="auto"/>
        <w:ind w:firstLine="480"/>
        <w:rPr>
          <w:rFonts w:ascii="微软雅黑" w:hAnsi="微软雅黑" w:eastAsia="微软雅黑" w:cs="微软雅黑"/>
          <w:b/>
          <w:bCs/>
          <w:color w:val="2C2C2C"/>
          <w:sz w:val="24"/>
          <w:szCs w:val="24"/>
        </w:rPr>
      </w:pPr>
      <w:r>
        <w:rPr>
          <w:rFonts w:ascii="微软雅黑" w:hAnsi="微软雅黑" w:eastAsia="微软雅黑" w:cs="微软雅黑"/>
          <w:b/>
          <w:bCs/>
          <w:color w:val="2C2C2C"/>
          <w:sz w:val="24"/>
          <w:szCs w:val="24"/>
        </w:rPr>
        <w:t>裁判要旨</w:t>
      </w:r>
    </w:p>
    <w:p w14:paraId="148B1FD3">
      <w:pPr>
        <w:spacing w:after="120" w:line="360" w:lineRule="auto"/>
        <w:ind w:firstLine="480"/>
        <w:rPr>
          <w:rFonts w:ascii="微软雅黑" w:hAnsi="微软雅黑" w:eastAsia="微软雅黑" w:cs="微软雅黑"/>
          <w:color w:val="2C2C2C"/>
          <w:sz w:val="24"/>
          <w:szCs w:val="24"/>
        </w:rPr>
      </w:pPr>
      <w:r>
        <w:rPr>
          <w:rFonts w:ascii="微软雅黑" w:hAnsi="微软雅黑" w:eastAsia="微软雅黑" w:cs="微软雅黑"/>
          <w:color w:val="2C2C2C"/>
          <w:sz w:val="24"/>
          <w:szCs w:val="24"/>
          <w:lang w:val="en-US" w:eastAsia="zh-CN"/>
        </w:rPr>
        <w:t>1.虽然一审法院支持了某股份银行湖北分行的全部诉请，但从某股</w:t>
      </w:r>
      <w:r>
        <w:rPr>
          <w:rFonts w:hint="eastAsia" w:ascii="微软雅黑" w:hAnsi="微软雅黑" w:eastAsia="微软雅黑" w:cs="微软雅黑"/>
          <w:color w:val="2C2C2C"/>
          <w:sz w:val="24"/>
          <w:szCs w:val="24"/>
          <w:lang w:val="en-US" w:eastAsia="zh-CN"/>
        </w:rPr>
        <w:t xml:space="preserve">份银行湖北分行变更诉讼请求的理由来看，其并非简单减少诉讼请求标的额，实质是请求法院对其行使抵销权的事实进行审查并确认该行为的效力。一审法院对某股份银行湖北分行两次变更诉讼请求的主张不予准许，并在判决中认定其转账、扣款行为系行使抵销权，认为其行使抵销权的条件不成就，实际是驳回了某股份银行湖北分行提出的对其行使抵销权的事实进行审查并予以确认的请求。在该情形下，某股份银行湖北分行提起上诉，请求二审法院对相关事实进行审查和确认，具有上诉利益。 </w:t>
      </w:r>
    </w:p>
    <w:p w14:paraId="5DE3683A">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2.某典当公司对其名下银行账户上的资金享有占有、使用、收益</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处分的权利，某股份银行湖北分行将款项汇入某典当公司在该行开立的账户并备注履行生效判决，意思表示明确，可发生清偿生效判决确定债务的后果。某股份银行湖北分行扣划某典当公司银行账户存款符合双方的合同约定，系依约扣收，产生消灭等额债权、减少本案诉争相应欠款本息的法律后果。某股份银行湖北分行转账、扣收行为并未加重某典当公司的债务负担，不损害第三人利益，且有利于解决另案的执行，简化债的清偿，从整体上减少当事人诉累，法院应予以准许。</w:t>
      </w:r>
    </w:p>
    <w:p w14:paraId="66D10BA6">
      <w:pPr>
        <w:spacing w:after="120" w:line="360" w:lineRule="auto"/>
        <w:ind w:firstLine="480"/>
        <w:rPr>
          <w:rFonts w:ascii="微软雅黑" w:hAnsi="微软雅黑" w:eastAsia="微软雅黑" w:cs="微软雅黑"/>
          <w:b/>
          <w:bCs/>
          <w:color w:val="2C2C2C"/>
          <w:sz w:val="24"/>
          <w:szCs w:val="24"/>
        </w:rPr>
      </w:pPr>
      <w:r>
        <w:rPr>
          <w:rFonts w:ascii="微软雅黑" w:hAnsi="微软雅黑" w:eastAsia="微软雅黑" w:cs="微软雅黑"/>
          <w:b/>
          <w:bCs/>
          <w:color w:val="2C2C2C"/>
          <w:sz w:val="24"/>
          <w:szCs w:val="24"/>
          <w:lang w:val="en-US" w:eastAsia="zh-CN"/>
        </w:rPr>
        <w:t xml:space="preserve">基本案情 </w:t>
      </w:r>
    </w:p>
    <w:p w14:paraId="23DEA5F9">
      <w:pPr>
        <w:spacing w:after="120" w:line="360" w:lineRule="auto"/>
        <w:ind w:firstLine="480"/>
        <w:rPr>
          <w:rFonts w:ascii="微软雅黑" w:hAnsi="微软雅黑" w:eastAsia="微软雅黑" w:cs="微软雅黑"/>
          <w:color w:val="2C2C2C"/>
          <w:sz w:val="24"/>
          <w:szCs w:val="24"/>
        </w:rPr>
      </w:pPr>
      <w:r>
        <w:rPr>
          <w:rFonts w:ascii="微软雅黑" w:hAnsi="微软雅黑" w:eastAsia="微软雅黑" w:cs="微软雅黑"/>
          <w:color w:val="2C2C2C"/>
          <w:sz w:val="24"/>
          <w:szCs w:val="24"/>
          <w:lang w:val="en-US" w:eastAsia="zh-CN"/>
        </w:rPr>
        <w:t>某股份银行湖北分行向湖北省十堰市中级人民法院提起诉讼请求</w:t>
      </w:r>
      <w:r>
        <w:rPr>
          <w:rFonts w:hint="eastAsia" w:ascii="微软雅黑" w:hAnsi="微软雅黑" w:eastAsia="微软雅黑" w:cs="微软雅黑"/>
          <w:color w:val="2C2C2C"/>
          <w:sz w:val="24"/>
          <w:szCs w:val="24"/>
          <w:lang w:val="en-US" w:eastAsia="zh-CN"/>
        </w:rPr>
        <w:t>：1.判令某典当公司立即偿还所欠借款本金3600万元及利息、罚复息；2.判令张某娥、郭某平、张某宏、张某、张某阳对某典当公司的上述第一项付款义务承担连带清偿责任；3.确认某股份银行湖北分行对某典当公司所有的坐落于十堰市茅箭区五堰街办人民中路的抵押物的拍卖、变卖价款享有优先受偿权；4.判令某典当公司、张某娥、郭某平、张某宏、张某、张某阳共同承担本案诉讼费及某股份银行湖北分行为实现债权所支付的其他费用。一审法院受理后，某股份银行湖北分行分别于2018年9月20日</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 xml:space="preserve">2018年10月10日两次申请变更诉讼请求，要求调减借款本金及利息数额。 </w:t>
      </w:r>
    </w:p>
    <w:p w14:paraId="1C8A7D5E">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法院经审理查明：2017年，某典当公司分两次向某股份银行湖北分行贷款3600万元。该贷款到期后，某股份银行湖北分行因某典当公司未如约履行还本付息义务，担保人未履行担保责任，向一审法院提起诉讼，请求：判令某典当公司立即偿还借款本金3600万元及利息、罚复息，各担保人承担连带清偿责任，并确认对抵押物优先受偿。 </w:t>
      </w:r>
    </w:p>
    <w:p w14:paraId="6F741405">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一审诉讼期间，某股份银行湖北分行因某典当公司起诉其的债权转让合同纠纷一案，被人民法院判令返还某典当公司债权转让款11584545.17元及资金占用利息。该判决已发生法律效力。某股份银行湖北分行在该判决生效几日后，于2018年10月8日晚21时向某典当公司在该行开立账户转入11584545.17元及利息1688077.4元，并备注系履行生效判决。几分钟后，某股份银行湖北分行将上述两笔资金全部从上述账户扣收，并备注用于抵偿本案借款本金。某股份银行湖北分行据此向一审法院提交变更诉讼请求申请，请求将本案的诉讼请求变更为“某典当公司立即偿还所欠本金22727377.43元（36000000-11584545.17-1688077.4）及利息”。某典当公司提出异议称，其已将生效判决确定的对某股份银行湖北分行的债权全部转让给案外人，并于2018年10月11日通知某股份银行湖北分行。一审法院对某股份银行湖北分行变更诉请不予准许。 </w:t>
      </w:r>
    </w:p>
    <w:p w14:paraId="470BE6E2">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湖北省十堰市中级人民法院于2019年10月14日作出（2018）鄂03民初40号民事判决：某典当公司于本判决生效之日起十五日内偿还某股份银行湖北分行借款本金3600万元及相应利息，各担保人对某典当公司的上述给付义务承担连带清偿责任，并确认某股份银行湖北分行对抵押物 优先受偿权。宣判后，某股份银行湖北分行提起上诉，请求：撤销一审判决第一、二项，改判某典当公司于该判决生效之日起十五日内偿还某股份银行湖北分行借款本金22727377.43元及利息（利息、罚息按借款合同约定计算）。湖北省高级人民法院于2020年8月4日作出（2020）鄂民终147号民事判决：撤销一审判决，某典当公司于本判决生效之日起十五日内偿还某股份银行湖北分行借款本金22727377.43元及利息，各担保人对某典当公司的上述给付义务承担连带清偿责任，并确认某股份银行湖北分行对抵押物的优先受偿权。 </w:t>
      </w:r>
    </w:p>
    <w:p w14:paraId="7F4C287C">
      <w:pPr>
        <w:spacing w:after="120" w:line="360" w:lineRule="auto"/>
        <w:ind w:firstLine="480"/>
        <w:rPr>
          <w:rFonts w:ascii="微软雅黑" w:hAnsi="微软雅黑" w:eastAsia="微软雅黑" w:cs="微软雅黑"/>
          <w:color w:val="2C2C2C"/>
          <w:sz w:val="24"/>
          <w:szCs w:val="24"/>
        </w:rPr>
      </w:pPr>
      <w:r>
        <w:rPr>
          <w:rFonts w:hint="default" w:ascii="微软雅黑" w:hAnsi="微软雅黑" w:eastAsia="微软雅黑" w:cs="微软雅黑"/>
          <w:b/>
          <w:bCs/>
          <w:color w:val="2C2C2C"/>
          <w:sz w:val="24"/>
          <w:szCs w:val="24"/>
          <w:lang w:val="en-US" w:eastAsia="zh-CN"/>
        </w:rPr>
        <w:t>裁判理由</w:t>
      </w:r>
      <w:r>
        <w:rPr>
          <w:rFonts w:hint="default" w:ascii="微软雅黑" w:hAnsi="微软雅黑" w:eastAsia="微软雅黑" w:cs="微软雅黑"/>
          <w:color w:val="2C2C2C"/>
          <w:sz w:val="24"/>
          <w:szCs w:val="24"/>
          <w:lang w:val="en-US" w:eastAsia="zh-CN"/>
        </w:rPr>
        <w:t xml:space="preserve"> </w:t>
      </w:r>
    </w:p>
    <w:p w14:paraId="37690AD5">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法院生效裁判认为，某股份银行湖北分行起诉后，基于履行另案生效判决确定的给付义务，请求变更调减本案诉讼请求标的额未被一审法院准许。在此情况下，虽然一审法院支持了某股份银行湖北分行请求变更诉讼请求前的全部诉请，但从某股份银行湖北分行主张变更诉讼请求的理由看，其并非简单减少诉讼请求标的额，实质是要求法院对其行使抵销权和扣划的事实进行审查并确认该行为的效力，以期减少争议标的额。一审法院对某股份银行湖北分行两次变更诉讼请求的主张不予准许，并在判决中认定其转账、扣款行为系行使抵销权，认为其行使抵销权的条件不成就，实际上是驳回了某股份银行湖北分行提出的对其行使抵销权或扣划的事实进行审查并予以确认的请求。在该情形下，某股份银行湖北分行提起上诉，请求二审法院对相关事实进行审查和确认，享有上诉利益。某典当公司对账户上的资金具有占有、使用、收益、处分的权利，某股份银行湖北分行将11584545.17元和1688077.4元转入某典当公司在该行开立的账户，履行生效判决的意思表示明确，上述款项进入某典当公司的账户后，即可发生清偿相关生效判决的后果。其扣划某典当公司银行账户存款的行为，系依约扣收某典当公司欠款的行为，产生消灭其等额债权，减少本案诉争相应欠款本息的法律后果。某股份银行湖北分行的转账、扣收行为并未加重某典当公司的债务负担，也未损害第三人利益，且有利于解决另案的执行，简化债的清偿，从整体上减少当事人诉累，故对某股份银行湖北分行主张的转账、扣收行为系行使抵销权的性质及法律后果予以确认。相应债权债务消灭后，某典当公司还差欠某股份银行湖北分行借款本金22727377.43元及相应利息。</w:t>
      </w:r>
    </w:p>
    <w:p w14:paraId="0E759FCB">
      <w:pPr>
        <w:spacing w:after="120" w:line="360" w:lineRule="auto"/>
        <w:ind w:firstLine="480"/>
        <w:rPr>
          <w:rFonts w:hint="eastAsia" w:ascii="微软雅黑" w:hAnsi="微软雅黑" w:eastAsia="微软雅黑" w:cs="微软雅黑"/>
          <w:b/>
          <w:bCs/>
          <w:color w:val="2C2C2C"/>
          <w:sz w:val="24"/>
          <w:szCs w:val="24"/>
          <w:lang w:val="en-US" w:eastAsia="zh-CN"/>
        </w:rPr>
      </w:pPr>
      <w:r>
        <w:rPr>
          <w:rFonts w:hint="eastAsia" w:ascii="微软雅黑" w:hAnsi="微软雅黑" w:eastAsia="微软雅黑" w:cs="微软雅黑"/>
          <w:b/>
          <w:bCs/>
          <w:color w:val="2C2C2C"/>
          <w:sz w:val="24"/>
          <w:szCs w:val="24"/>
          <w:lang w:val="en-US" w:eastAsia="zh-CN"/>
        </w:rPr>
        <w:t xml:space="preserve">关联索引 </w:t>
      </w:r>
    </w:p>
    <w:p w14:paraId="339D3442">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《中华人民共和国民法典》第546条（本案适用的是1999年10月1日施行的《中华人民共和国合同法》第80条） </w:t>
      </w:r>
    </w:p>
    <w:p w14:paraId="489DEDFB">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一审：湖北省十堰市中级人民法院（2018）鄂03民初40号民事判决 （2019年10月14日） </w:t>
      </w:r>
    </w:p>
    <w:p w14:paraId="3D166884">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二审：湖北省高级人民法院（2020）鄂民终147号民事判决（2020年 8月4日）</w:t>
      </w:r>
    </w:p>
    <w:p w14:paraId="53381F68">
      <w:pPr>
        <w:spacing w:after="120" w:line="360" w:lineRule="auto"/>
        <w:jc w:val="center"/>
        <w:rPr>
          <w:rFonts w:ascii="微软雅黑" w:hAnsi="微软雅黑" w:eastAsia="微软雅黑" w:cs="微软雅黑"/>
          <w:b/>
          <w:bCs/>
          <w:color w:val="2C2C2C"/>
          <w:sz w:val="24"/>
          <w:szCs w:val="24"/>
        </w:rPr>
      </w:pPr>
    </w:p>
    <w:p w14:paraId="4CE01DC7">
      <w:pPr>
        <w:spacing w:after="120" w:line="360" w:lineRule="auto"/>
        <w:jc w:val="center"/>
        <w:rPr>
          <w:rFonts w:hint="eastAsia" w:cs="微软雅黑"/>
          <w:b/>
          <w:bCs/>
          <w:color w:val="2C2C2C"/>
          <w:sz w:val="24"/>
          <w:szCs w:val="24"/>
          <w:lang w:val="en-US" w:eastAsia="zh-CN"/>
        </w:rPr>
      </w:pPr>
      <w:r>
        <w:rPr>
          <w:rFonts w:ascii="微软雅黑" w:hAnsi="微软雅黑" w:eastAsia="微软雅黑" w:cs="微软雅黑"/>
          <w:b/>
          <w:bCs/>
          <w:color w:val="2C2C2C"/>
          <w:sz w:val="24"/>
          <w:szCs w:val="24"/>
        </w:rPr>
        <w:t>2</w:t>
      </w:r>
      <w:r>
        <w:rPr>
          <w:rFonts w:hint="eastAsia" w:cs="微软雅黑"/>
          <w:b/>
          <w:bCs/>
          <w:color w:val="2C2C2C"/>
          <w:sz w:val="24"/>
          <w:szCs w:val="24"/>
          <w:lang w:val="en-US" w:eastAsia="zh-CN"/>
        </w:rPr>
        <w:t>.某某银行诉某地产开发公司等金融借款合同纠纷案</w:t>
      </w:r>
    </w:p>
    <w:p w14:paraId="4EC67F1C">
      <w:pPr>
        <w:spacing w:after="120" w:line="360" w:lineRule="auto"/>
        <w:jc w:val="center"/>
        <w:rPr>
          <w:sz w:val="24"/>
          <w:szCs w:val="24"/>
        </w:rPr>
      </w:pPr>
      <w:r>
        <w:rPr>
          <w:rFonts w:hint="eastAsia" w:cs="微软雅黑"/>
          <w:b/>
          <w:bCs/>
          <w:color w:val="2C2C2C"/>
          <w:sz w:val="24"/>
          <w:szCs w:val="24"/>
          <w:lang w:val="en-US" w:eastAsia="zh-CN"/>
        </w:rPr>
        <w:t>——债权人同时起诉主债务人和担保人的，根据主合同确定案件管辖权</w:t>
      </w:r>
    </w:p>
    <w:p w14:paraId="4D719565">
      <w:pPr>
        <w:spacing w:after="120" w:line="360" w:lineRule="auto"/>
        <w:jc w:val="right"/>
        <w:rPr>
          <w:rFonts w:ascii="微软雅黑" w:hAnsi="微软雅黑" w:eastAsia="微软雅黑" w:cs="微软雅黑"/>
          <w:color w:val="2C2C2C"/>
          <w:sz w:val="24"/>
          <w:szCs w:val="24"/>
        </w:rPr>
      </w:pPr>
      <w:r>
        <w:rPr>
          <w:rFonts w:ascii="微软雅黑" w:hAnsi="微软雅黑" w:eastAsia="微软雅黑" w:cs="微软雅黑"/>
          <w:color w:val="2C2C2C"/>
          <w:sz w:val="24"/>
          <w:szCs w:val="24"/>
          <w:lang w:val="en-US" w:eastAsia="zh-CN"/>
        </w:rPr>
        <w:t>2024-01-2-103-001</w:t>
      </w:r>
    </w:p>
    <w:p w14:paraId="0C5E4B60">
      <w:pPr>
        <w:spacing w:after="120" w:line="360" w:lineRule="auto"/>
        <w:ind w:firstLine="480"/>
        <w:rPr>
          <w:rFonts w:ascii="微软雅黑" w:hAnsi="微软雅黑" w:eastAsia="微软雅黑" w:cs="微软雅黑"/>
          <w:b/>
          <w:bCs/>
          <w:color w:val="2C2C2C"/>
          <w:sz w:val="24"/>
          <w:szCs w:val="24"/>
        </w:rPr>
      </w:pPr>
      <w:r>
        <w:rPr>
          <w:rFonts w:ascii="微软雅黑" w:hAnsi="微软雅黑" w:eastAsia="微软雅黑" w:cs="微软雅黑"/>
          <w:b/>
          <w:bCs/>
          <w:color w:val="2C2C2C"/>
          <w:sz w:val="24"/>
          <w:szCs w:val="24"/>
        </w:rPr>
        <w:t>裁判要旨</w:t>
      </w:r>
    </w:p>
    <w:p w14:paraId="385C74CB">
      <w:pPr>
        <w:spacing w:after="120" w:line="360" w:lineRule="auto"/>
        <w:ind w:firstLine="480"/>
        <w:rPr>
          <w:rFonts w:hint="eastAsia" w:ascii="微软雅黑" w:hAnsi="微软雅黑" w:eastAsia="微软雅黑" w:cs="微软雅黑"/>
          <w:color w:val="2C2C2C"/>
          <w:sz w:val="24"/>
          <w:szCs w:val="24"/>
          <w:lang w:val="en-US" w:eastAsia="zh-CN"/>
        </w:rPr>
      </w:pPr>
      <w:r>
        <w:rPr>
          <w:rFonts w:ascii="微软雅黑" w:hAnsi="微软雅黑" w:eastAsia="微软雅黑" w:cs="微软雅黑"/>
          <w:color w:val="2C2C2C"/>
          <w:sz w:val="24"/>
          <w:szCs w:val="24"/>
          <w:lang w:val="en-US" w:eastAsia="zh-CN"/>
        </w:rPr>
        <w:t>债权人根据主合同和担保合同提起诉讼，同时向主债务人和担保人</w:t>
      </w:r>
      <w:r>
        <w:rPr>
          <w:rFonts w:hint="eastAsia" w:ascii="微软雅黑" w:hAnsi="微软雅黑" w:eastAsia="微软雅黑" w:cs="微软雅黑"/>
          <w:color w:val="2C2C2C"/>
          <w:sz w:val="24"/>
          <w:szCs w:val="24"/>
          <w:lang w:val="en-US" w:eastAsia="zh-CN"/>
        </w:rPr>
        <w:t>主张权利的，应当根据主合同确定案件的管辖权。</w:t>
      </w:r>
    </w:p>
    <w:p w14:paraId="794C1D95">
      <w:pPr>
        <w:spacing w:after="120" w:line="360" w:lineRule="auto"/>
        <w:ind w:firstLine="480"/>
        <w:rPr>
          <w:rFonts w:hint="eastAsia" w:ascii="微软雅黑" w:hAnsi="微软雅黑" w:eastAsia="微软雅黑" w:cs="微软雅黑"/>
          <w:b/>
          <w:bCs/>
          <w:color w:val="2C2C2C"/>
          <w:sz w:val="24"/>
          <w:szCs w:val="24"/>
          <w:lang w:val="en-US" w:eastAsia="zh-CN"/>
        </w:rPr>
      </w:pPr>
      <w:r>
        <w:rPr>
          <w:rFonts w:hint="eastAsia" w:ascii="微软雅黑" w:hAnsi="微软雅黑" w:eastAsia="微软雅黑" w:cs="微软雅黑"/>
          <w:b/>
          <w:bCs/>
          <w:color w:val="2C2C2C"/>
          <w:sz w:val="24"/>
          <w:szCs w:val="24"/>
          <w:lang w:val="en-US" w:eastAsia="zh-CN"/>
        </w:rPr>
        <w:t xml:space="preserve">基本案情 </w:t>
      </w:r>
    </w:p>
    <w:p w14:paraId="67BFDB2B">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原告某某银行请求法院判令：一、福建某公司偿还原告借款本金10亿元及逾期付款利息、罚息；二、某地产开发公司等被告承担抵押担保责任。某地产开发公司在提交答辩状期间提出管辖权异议，认为某某银行与其之间签订的抵押合同约定，向抵押权人所在地人民法院提起诉讼。因未办理抵押登记手续，抵押权并未依法设立，故不应由抵押权人即某某银行所在地法院管辖，而应由被告住所地法院管辖，请求将某某银行与其之间的抵押合同纠纷移送辽宁省高级人民法院审理。 </w:t>
      </w:r>
    </w:p>
    <w:p w14:paraId="1833B086">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北京市高级人民法院于2019年9月20日作出（2019）京民初69号之一民事裁定，驳回某地产开发公司对本案管辖权提出的异议。某地产开发公司不服提起上诉，最高人民法院于2020年1月7日作出（2019）最高法民辖终526号民事裁定，驳回上诉，维持原裁定。 </w:t>
      </w:r>
    </w:p>
    <w:p w14:paraId="4C4B6B7D">
      <w:pPr>
        <w:spacing w:after="120" w:line="360" w:lineRule="auto"/>
        <w:ind w:firstLine="480"/>
        <w:rPr>
          <w:rFonts w:hint="eastAsia" w:ascii="微软雅黑" w:hAnsi="微软雅黑" w:eastAsia="微软雅黑" w:cs="微软雅黑"/>
          <w:b/>
          <w:bCs/>
          <w:color w:val="2C2C2C"/>
          <w:sz w:val="24"/>
          <w:szCs w:val="24"/>
          <w:lang w:val="en-US" w:eastAsia="zh-CN"/>
        </w:rPr>
      </w:pPr>
      <w:r>
        <w:rPr>
          <w:rFonts w:hint="eastAsia" w:ascii="微软雅黑" w:hAnsi="微软雅黑" w:eastAsia="微软雅黑" w:cs="微软雅黑"/>
          <w:b/>
          <w:bCs/>
          <w:color w:val="2C2C2C"/>
          <w:sz w:val="24"/>
          <w:szCs w:val="24"/>
          <w:lang w:val="en-US" w:eastAsia="zh-CN"/>
        </w:rPr>
        <w:t xml:space="preserve">裁判理由 </w:t>
      </w:r>
    </w:p>
    <w:p w14:paraId="1BB53D33">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法院生效裁判认为，《最高人民法院关于适用〈中华人民共和国担保法〉若干问题的解释》第一百二十九条规定“主合同和担保合同发生纠纷提起诉讼的，应当根据主合同确定案件管辖。担保人承担连带责任的担保合同发生纠纷，债权人向担保人主张权利的，应当由担保人住所地的法院管辖。主合同和担保合同选择管辖的法院不一致的，应当根据主合同确定案件管辖。”本案系金融借款合同纠纷，债权人某某银行同时起诉主债务人以及担保人，属于债权人对债务人和担保人一并提起诉讼的情形，应当依照前述司法解释规定根据主合同确定案件管辖权。某某银行与福建某公司签署的《委托贷款借款合同》约定，合同履行过程中发生与本合同有关的纠纷或争议，可以通过协商解决；协商不成，向贷款人所在地人民法院提起诉讼。某某银行住所地位于北京市东城区，原审法院对本案具有管辖权。 </w:t>
      </w:r>
    </w:p>
    <w:p w14:paraId="362CE402">
      <w:pPr>
        <w:spacing w:after="120" w:line="360" w:lineRule="auto"/>
        <w:ind w:firstLine="480"/>
        <w:rPr>
          <w:rFonts w:hint="eastAsia" w:ascii="微软雅黑" w:hAnsi="微软雅黑" w:eastAsia="微软雅黑" w:cs="微软雅黑"/>
          <w:b/>
          <w:bCs/>
          <w:color w:val="2C2C2C"/>
          <w:sz w:val="24"/>
          <w:szCs w:val="24"/>
          <w:lang w:val="en-US" w:eastAsia="zh-CN"/>
        </w:rPr>
      </w:pPr>
      <w:r>
        <w:rPr>
          <w:rFonts w:hint="eastAsia" w:ascii="微软雅黑" w:hAnsi="微软雅黑" w:eastAsia="微软雅黑" w:cs="微软雅黑"/>
          <w:b/>
          <w:bCs/>
          <w:color w:val="2C2C2C"/>
          <w:sz w:val="24"/>
          <w:szCs w:val="24"/>
          <w:lang w:val="en-US" w:eastAsia="zh-CN"/>
        </w:rPr>
        <w:t xml:space="preserve">关联索引 </w:t>
      </w:r>
    </w:p>
    <w:p w14:paraId="5D5F0EA9">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本案适用的是2000年12月13日实施的《最高人民法院关于适用〈中华人民共和国担保法〉若干问题的解释》第129条 </w:t>
      </w:r>
    </w:p>
    <w:p w14:paraId="694BA25F">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一审：北京市高级人民法院（2019）京民初69号之一民事裁定（2019年9月20日） </w:t>
      </w:r>
    </w:p>
    <w:p w14:paraId="3173C318">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二审：最高人民法院（2019）最高法民辖终526号民事裁定（2020年1月7日） </w:t>
      </w:r>
    </w:p>
    <w:p w14:paraId="640188E4">
      <w:pPr>
        <w:spacing w:after="120" w:line="360" w:lineRule="auto"/>
        <w:ind w:firstLine="480"/>
        <w:rPr>
          <w:rFonts w:hint="eastAsia" w:ascii="微软雅黑" w:hAnsi="微软雅黑" w:eastAsia="微软雅黑" w:cs="微软雅黑"/>
          <w:b/>
          <w:bCs/>
          <w:color w:val="2C2C2C"/>
          <w:sz w:val="24"/>
          <w:szCs w:val="24"/>
          <w:lang w:val="en-US" w:eastAsia="zh-CN"/>
        </w:rPr>
      </w:pPr>
      <w:r>
        <w:rPr>
          <w:rFonts w:hint="eastAsia" w:ascii="微软雅黑" w:hAnsi="微软雅黑" w:eastAsia="微软雅黑" w:cs="微软雅黑"/>
          <w:b w:val="0"/>
          <w:bCs w:val="0"/>
          <w:color w:val="2C2C2C"/>
          <w:sz w:val="24"/>
          <w:szCs w:val="24"/>
          <w:lang w:val="en-US" w:eastAsia="zh-CN"/>
        </w:rPr>
        <w:t>本案例文本已于2024年2月26日作出调整</w:t>
      </w:r>
    </w:p>
    <w:p w14:paraId="133F5F6E">
      <w:pPr>
        <w:spacing w:after="120" w:line="360" w:lineRule="auto"/>
        <w:ind w:firstLine="480"/>
        <w:rPr>
          <w:rFonts w:hint="eastAsia" w:ascii="微软雅黑" w:hAnsi="微软雅黑" w:eastAsia="微软雅黑" w:cs="微软雅黑"/>
          <w:color w:val="2C2C2C"/>
          <w:sz w:val="24"/>
          <w:szCs w:val="24"/>
          <w:lang w:val="en-US" w:eastAsia="zh-CN"/>
        </w:rPr>
      </w:pPr>
    </w:p>
    <w:p w14:paraId="0C88C605">
      <w:pPr>
        <w:spacing w:after="120" w:line="360" w:lineRule="auto"/>
        <w:jc w:val="center"/>
        <w:rPr>
          <w:rFonts w:hint="eastAsia" w:cs="微软雅黑"/>
          <w:b/>
          <w:bCs/>
          <w:color w:val="2C2C2C"/>
          <w:sz w:val="24"/>
          <w:szCs w:val="24"/>
          <w:lang w:eastAsia="zh-CN"/>
        </w:rPr>
      </w:pPr>
      <w:r>
        <w:rPr>
          <w:rFonts w:ascii="微软雅黑" w:hAnsi="微软雅黑" w:eastAsia="微软雅黑" w:cs="微软雅黑"/>
          <w:b/>
          <w:bCs/>
          <w:color w:val="2C2C2C"/>
          <w:sz w:val="24"/>
          <w:szCs w:val="24"/>
        </w:rPr>
        <w:t>3</w:t>
      </w:r>
      <w:r>
        <w:rPr>
          <w:rFonts w:hint="eastAsia" w:cs="微软雅黑"/>
          <w:b/>
          <w:bCs/>
          <w:color w:val="2C2C2C"/>
          <w:sz w:val="24"/>
          <w:szCs w:val="24"/>
          <w:lang w:eastAsia="zh-CN"/>
        </w:rPr>
        <w:t>.</w:t>
      </w:r>
      <w:r>
        <w:rPr>
          <w:rFonts w:hint="eastAsia" w:cs="微软雅黑"/>
          <w:b/>
          <w:bCs/>
          <w:color w:val="2C2C2C"/>
          <w:sz w:val="24"/>
          <w:szCs w:val="24"/>
          <w:lang w:val="en-US" w:eastAsia="zh-CN"/>
        </w:rPr>
        <w:t xml:space="preserve">某银行诉崔某甲等金融借款合同纠纷案 </w:t>
      </w:r>
    </w:p>
    <w:p w14:paraId="4C115A60">
      <w:pPr>
        <w:spacing w:after="120" w:line="360" w:lineRule="auto"/>
        <w:jc w:val="center"/>
        <w:rPr>
          <w:rFonts w:hint="eastAsia" w:cs="微软雅黑"/>
          <w:b/>
          <w:bCs/>
          <w:color w:val="2C2C2C"/>
          <w:sz w:val="24"/>
          <w:szCs w:val="24"/>
          <w:lang w:val="en-US" w:eastAsia="zh-CN"/>
        </w:rPr>
      </w:pPr>
      <w:r>
        <w:rPr>
          <w:rFonts w:hint="eastAsia" w:cs="微软雅黑"/>
          <w:b/>
          <w:bCs/>
          <w:color w:val="2C2C2C"/>
          <w:sz w:val="24"/>
          <w:szCs w:val="24"/>
          <w:lang w:val="en-US" w:eastAsia="zh-CN"/>
        </w:rPr>
        <w:t>——联户联保最高额借款责任限额应以户为单位</w:t>
      </w:r>
    </w:p>
    <w:p w14:paraId="17C282F0">
      <w:pPr>
        <w:spacing w:after="120" w:line="360" w:lineRule="auto"/>
        <w:jc w:val="right"/>
        <w:rPr>
          <w:rFonts w:hint="eastAsia" w:cs="微软雅黑"/>
          <w:b/>
          <w:bCs/>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2024-08-2-103-005 </w:t>
      </w:r>
    </w:p>
    <w:p w14:paraId="761E61A7">
      <w:pPr>
        <w:spacing w:after="120" w:line="360" w:lineRule="auto"/>
        <w:ind w:firstLine="480"/>
        <w:rPr>
          <w:rFonts w:ascii="微软雅黑" w:hAnsi="微软雅黑" w:eastAsia="微软雅黑" w:cs="微软雅黑"/>
          <w:b/>
          <w:bCs/>
          <w:color w:val="2C2C2C"/>
          <w:sz w:val="24"/>
          <w:szCs w:val="24"/>
        </w:rPr>
      </w:pPr>
      <w:r>
        <w:rPr>
          <w:rFonts w:ascii="微软雅黑" w:hAnsi="微软雅黑" w:eastAsia="微软雅黑" w:cs="微软雅黑"/>
          <w:b/>
          <w:bCs/>
          <w:color w:val="2C2C2C"/>
          <w:sz w:val="24"/>
          <w:szCs w:val="24"/>
        </w:rPr>
        <w:t>裁判要旨</w:t>
      </w:r>
    </w:p>
    <w:p w14:paraId="31132AB8">
      <w:pPr>
        <w:spacing w:after="120" w:line="360" w:lineRule="auto"/>
        <w:ind w:firstLine="480"/>
        <w:rPr>
          <w:rFonts w:hint="eastAsia" w:ascii="微软雅黑" w:hAnsi="微软雅黑" w:eastAsia="微软雅黑" w:cs="微软雅黑"/>
          <w:color w:val="2C2C2C"/>
          <w:sz w:val="24"/>
          <w:szCs w:val="24"/>
          <w:lang w:val="en-US" w:eastAsia="zh-CN"/>
        </w:rPr>
      </w:pPr>
      <w:r>
        <w:rPr>
          <w:rFonts w:ascii="微软雅黑" w:hAnsi="微软雅黑" w:eastAsia="微软雅黑" w:cs="微软雅黑"/>
          <w:color w:val="2C2C2C"/>
          <w:sz w:val="24"/>
          <w:szCs w:val="24"/>
          <w:lang w:val="en-US" w:eastAsia="zh-CN"/>
        </w:rPr>
        <w:t>因联户联保贷款所组成的联保小组以户为单位，故在最高额限度内</w:t>
      </w:r>
      <w:r>
        <w:rPr>
          <w:rFonts w:hint="eastAsia" w:ascii="微软雅黑" w:hAnsi="微软雅黑" w:eastAsia="微软雅黑" w:cs="微软雅黑"/>
          <w:color w:val="2C2C2C"/>
          <w:sz w:val="24"/>
          <w:szCs w:val="24"/>
          <w:lang w:val="en-US" w:eastAsia="zh-CN"/>
        </w:rPr>
        <w:t>承担责任时亦应以户为单位，而不能让每户的每个人均在最高额限度内承担责任，否则，将变相加重联户联保小组家庭成员的还款责任，背离联户联保贷款业务的初衷。</w:t>
      </w:r>
    </w:p>
    <w:p w14:paraId="7601B64F">
      <w:pPr>
        <w:spacing w:after="120" w:line="360" w:lineRule="auto"/>
        <w:ind w:firstLine="480"/>
        <w:rPr>
          <w:rFonts w:hint="eastAsia" w:ascii="微软雅黑" w:hAnsi="微软雅黑" w:eastAsia="微软雅黑" w:cs="微软雅黑"/>
          <w:b/>
          <w:bCs/>
          <w:color w:val="2C2C2C"/>
          <w:sz w:val="24"/>
          <w:szCs w:val="24"/>
          <w:lang w:val="en-US" w:eastAsia="zh-CN"/>
        </w:rPr>
      </w:pPr>
      <w:r>
        <w:rPr>
          <w:rFonts w:hint="eastAsia" w:ascii="微软雅黑" w:hAnsi="微软雅黑" w:eastAsia="微软雅黑" w:cs="微软雅黑"/>
          <w:b/>
          <w:bCs/>
          <w:color w:val="2C2C2C"/>
          <w:sz w:val="24"/>
          <w:szCs w:val="24"/>
          <w:lang w:val="en-US" w:eastAsia="zh-CN"/>
        </w:rPr>
        <w:t xml:space="preserve">基本案情 </w:t>
      </w:r>
    </w:p>
    <w:p w14:paraId="7DC54691">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原告某银行诉称：2011年6月28日，崔某甲与某银行签订个人最高额联合保证借款合同，授信90000元，合同约定授信到期日为2013年6月 27日</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lang w:val="en-US" w:eastAsia="zh-CN"/>
        </w:rPr>
        <w:t xml:space="preserve">借款月利率为9.99083‰，逾期按借款利率上浮50%支付逾期利息和罚息。在发放上述贷款时，崔某甲和赵某甲系夫妻，该笔债务应由其夫妻双方共同承担。担保人齐某某和崔某乙、刘某某和崔某丁、赵某乙和崔某戊均为夫妻，均同意以家庭共同财产为借款人所办理的贷款额度及联户联保成员的贷款提供连带责任保证担保。合同签订后，某银行于2011年7月6日按时履行合同发放了借款本金90000元。贷款到期未及时偿还贷款本金及利息，现结欠本金84189.99元，请求判令崔某甲、赵某甲偿还借款本金84189.99元及利息（按合同约定利率计算至贷款偿清日）；判令崔某乙、齐某某、崔某丙、崔某丁、刘某某、崔某戊、赵某乙对上述贷款承担连带还款责任；诉讼费用及实现债权的费用由被告承担 。 </w:t>
      </w:r>
    </w:p>
    <w:p w14:paraId="51E2590D">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崔某甲、赵某甲、崔某乙、齐某某、崔某丙、崔某丁、刘某某、崔某戊、赵某乙未作答辩。 </w:t>
      </w:r>
    </w:p>
    <w:p w14:paraId="634DD6F8">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法院经审理查明：崔某甲、崔某乙、崔某丙、崔某丁、崔某戊五户自愿组成联保小组，于2011年6月28日与某银行签订个人最高额联合保证借款合同，双方约定对联保小组各成员自2011年6月28日起至2013年6月27日止在某银行发生的借款业务所形成的债务最高余额（包括主债权本金、利息、罚息、复利、违约金、损害赔偿金以及实现债权的费用）450000元提供最高额担保，其中崔某甲的授信额度为90000元，崔某乙的授信额度为50000元，崔某丙的授信额度为50000元，崔某丁的授信额度为30000元，崔某戊的授信额度为80000元。在合同约定的期限和授信额度内，联保小组各成员可循环申请使用信贷资金。借款的放款、支付、还款、金额、期限、利率、利息计算等具体事项以相关业务档案、凭证记载为准。借款定期结息，联保小组成员未按合同约定期限归还借款本金的，贷款人对逾期借款从逾期之日起在借款执行利率基础上上浮50%计收罚息，直至本息清偿为止。对应付未付利息，贷款人依据中国人民银行有关规定计收复利。在借款人不按期归还借款本息时，小组其他成员自愿履行保证责任，保证期间为自合同约定的授信期限届满之日起二年。同日，赵某甲、齐某某、刘某某、赵某乙分别作为崔某甲、崔某 乙、崔某丁、崔某戊的配偶签署联户联保配偶同意书，同意以家庭共同财产为联户联保各成员所办理的借款提供连带责任保证。2011年7月6日，某银行向崔某甲发放贷款90000元，贷转存凭证记载到期日为2012年7月5日，利率9.99083‰。该笔借款到期后，崔某甲分九次返还借款合计5810.01元。2014年6月5日，某银行就该笔借款向崔某丙进行了催收。 </w:t>
      </w:r>
    </w:p>
    <w:p w14:paraId="639E8EA6">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另查明，依据上述合同，崔某戊、崔某丁、崔某乙、崔某丙亦在各自的授信额度内办理了借款，且借款本息均未结清，某银行对其余四户的借款同时起诉，案号分别为（2018）鲁1203民初90号、（2018）鲁1203民初91号、（2018）鲁1203民初92号、（2018）鲁1203民初93号。 </w:t>
      </w:r>
    </w:p>
    <w:p w14:paraId="495524B0">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山东省莱芜市钢城区人民法院于2018年4月12日作出（2018）鲁1203民初89号民事判决：一、崔某甲、赵某甲于本判决生效之日起十日内在包括（2018）鲁1203民初90号、（2018）鲁1203民初91号、（2018）鲁1203民初92号、（2018）鲁1203民初93号民事判决书主文确定的偿还责任或连带清偿责任及已经偿还的借款本息数额在内不超过450000元的限额内向某银行返还借款84189.99元，并支付利息10790.10元及逾期利息、复利（按月利率14.986245‰，自2012年7月6日起计算至实际给付之日止）；二、崔某乙与齐某某、崔某丙、崔某丁与刘某某、崔某戊与赵某乙对上述款项及（2018）鲁1203民初90号、（2018）鲁1203民初91号、（2018）鲁1203民初92号、（2018）鲁1203民初93号民事判决书主文确定的偿还责任或连带清偿责任及已经偿还的借款本息数额各自在不超过450000元的限额内承担连带清偿责任，且承担保证责任后有权在承担责任范围内向崔某甲、赵某甲追偿；三、驳回某银行的其他诉讼请求。宣判后，双方当事人均未提出上诉，判决已发生法律效力。 </w:t>
      </w:r>
    </w:p>
    <w:p w14:paraId="448CF08C">
      <w:pPr>
        <w:spacing w:after="120" w:line="360" w:lineRule="auto"/>
        <w:ind w:firstLine="480"/>
        <w:rPr>
          <w:rFonts w:hint="eastAsia" w:ascii="微软雅黑" w:hAnsi="微软雅黑" w:eastAsia="微软雅黑" w:cs="微软雅黑"/>
          <w:b/>
          <w:bCs/>
          <w:color w:val="2C2C2C"/>
          <w:sz w:val="24"/>
          <w:szCs w:val="24"/>
          <w:lang w:val="en-US" w:eastAsia="zh-CN"/>
        </w:rPr>
      </w:pPr>
      <w:r>
        <w:rPr>
          <w:rFonts w:hint="eastAsia" w:ascii="微软雅黑" w:hAnsi="微软雅黑" w:eastAsia="微软雅黑" w:cs="微软雅黑"/>
          <w:b/>
          <w:bCs/>
          <w:color w:val="2C2C2C"/>
          <w:sz w:val="24"/>
          <w:szCs w:val="24"/>
          <w:lang w:val="en-US" w:eastAsia="zh-CN"/>
        </w:rPr>
        <w:t xml:space="preserve">裁判理由 </w:t>
      </w:r>
    </w:p>
    <w:p w14:paraId="7B65D99B">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法院生效裁判认为：涉案个人最高额联合保证借款合同系当事人自愿达成的协议，且不违反法律规定，合法有效，合同双方当事人应当按照约定履行自己的义务。某银行作为贷款方已按约定足额发放借款，崔某甲亦应按合同约定还本付息。因合同对于定期结息的节点未作明确约定，法院按照有利于债务人的原则确定借款按季结息，结息日为每季末月的20日。联户联保贷款是指金融机构对联户联保小组成员发放、联保小组成员相互承担连带保证责任的贷款。最高额联户联保贷款是指农户自愿成立联保小组后，向金融机构申请办理在合同规定的额度和有效期限内可循环使用的联保贷款，联保小组成员相互承担连带保证责任。因该笔借款系联户联保借款，在最高额限度内承担责任时应以户为单位。某银行在保证期限内要求崔某丙承担担保责任，崔某丙的保证责任已发生。根据《中华人民共和国担保法》第十二条的规定，债权人在保证期间向保证人之一主张权利的效力及于其他连带责任保证人，故崔某乙、齐某某、崔某丁、刘某某、崔某戊、赵某乙的保证责任亦已发生。某银行未提供证据证实保全费用及实现债权支出的费用，应对此承担举证不能的法律后果。 </w:t>
      </w:r>
    </w:p>
    <w:p w14:paraId="2367C4AC">
      <w:pPr>
        <w:spacing w:after="120" w:line="360" w:lineRule="auto"/>
        <w:ind w:firstLine="480"/>
        <w:rPr>
          <w:rFonts w:hint="eastAsia" w:ascii="微软雅黑" w:hAnsi="微软雅黑" w:eastAsia="微软雅黑" w:cs="微软雅黑"/>
          <w:b/>
          <w:bCs/>
          <w:color w:val="2C2C2C"/>
          <w:sz w:val="24"/>
          <w:szCs w:val="24"/>
          <w:lang w:val="en-US" w:eastAsia="zh-CN"/>
        </w:rPr>
      </w:pPr>
      <w:r>
        <w:rPr>
          <w:rFonts w:hint="eastAsia" w:ascii="微软雅黑" w:hAnsi="微软雅黑" w:eastAsia="微软雅黑" w:cs="微软雅黑"/>
          <w:b/>
          <w:bCs/>
          <w:color w:val="2C2C2C"/>
          <w:sz w:val="24"/>
          <w:szCs w:val="24"/>
          <w:lang w:val="en-US" w:eastAsia="zh-CN"/>
        </w:rPr>
        <w:t xml:space="preserve">关联索引 </w:t>
      </w:r>
    </w:p>
    <w:p w14:paraId="7F1D9AAE">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《中华人民共和国民法典》第690条、第699条（本案适用的是1995年10月1日施行的《中华人民共和国担保法》第12条、第14条） </w:t>
      </w:r>
    </w:p>
    <w:p w14:paraId="117F88D2">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一审：山东省莱芜市钢城区人民法院（2018）鲁1203民初89号民事判决（2018年4月12日） </w:t>
      </w:r>
    </w:p>
    <w:p w14:paraId="16A01510">
      <w:pPr>
        <w:spacing w:after="120" w:line="360" w:lineRule="auto"/>
        <w:ind w:firstLine="480"/>
        <w:rPr>
          <w:rFonts w:ascii="微软雅黑" w:hAnsi="微软雅黑" w:eastAsia="微软雅黑" w:cs="微软雅黑"/>
          <w:b/>
          <w:bCs/>
          <w:color w:val="2C2C2C"/>
          <w:sz w:val="24"/>
          <w:szCs w:val="24"/>
        </w:rPr>
      </w:pPr>
      <w:r>
        <w:rPr>
          <w:rFonts w:hint="eastAsia" w:ascii="微软雅黑" w:hAnsi="微软雅黑" w:eastAsia="微软雅黑" w:cs="微软雅黑"/>
          <w:b w:val="0"/>
          <w:bCs w:val="0"/>
          <w:color w:val="2C2C2C"/>
          <w:sz w:val="24"/>
          <w:szCs w:val="24"/>
          <w:lang w:val="en-US" w:eastAsia="zh-CN"/>
        </w:rPr>
        <w:t>本案例文本已于2024年2月26日作出调整</w:t>
      </w:r>
    </w:p>
    <w:p w14:paraId="0FA53411">
      <w:pPr>
        <w:spacing w:after="120" w:line="360" w:lineRule="auto"/>
        <w:rPr>
          <w:rFonts w:ascii="微软雅黑" w:hAnsi="微软雅黑" w:eastAsia="微软雅黑" w:cs="微软雅黑"/>
          <w:b/>
          <w:bCs/>
          <w:color w:val="2C2C2C"/>
          <w:sz w:val="24"/>
          <w:szCs w:val="24"/>
        </w:rPr>
      </w:pPr>
    </w:p>
    <w:p w14:paraId="7173A12A">
      <w:pPr>
        <w:spacing w:after="120" w:line="360" w:lineRule="auto"/>
        <w:jc w:val="center"/>
        <w:rPr>
          <w:rFonts w:ascii="微软雅黑" w:hAnsi="微软雅黑" w:eastAsia="微软雅黑" w:cs="微软雅黑"/>
          <w:b/>
          <w:bCs/>
          <w:color w:val="2C2C2C"/>
          <w:sz w:val="24"/>
          <w:szCs w:val="24"/>
        </w:rPr>
      </w:pPr>
      <w:r>
        <w:rPr>
          <w:rFonts w:ascii="微软雅黑" w:hAnsi="微软雅黑" w:eastAsia="微软雅黑" w:cs="微软雅黑"/>
          <w:b/>
          <w:bCs/>
          <w:color w:val="2C2C2C"/>
          <w:sz w:val="24"/>
          <w:szCs w:val="24"/>
        </w:rPr>
        <w:t>4</w:t>
      </w:r>
      <w:r>
        <w:rPr>
          <w:rFonts w:hint="eastAsia" w:cs="微软雅黑"/>
          <w:b/>
          <w:bCs/>
          <w:color w:val="2C2C2C"/>
          <w:sz w:val="24"/>
          <w:szCs w:val="24"/>
          <w:lang w:eastAsia="zh-CN"/>
        </w:rPr>
        <w:t>.</w:t>
      </w:r>
      <w:r>
        <w:rPr>
          <w:rFonts w:ascii="微软雅黑" w:hAnsi="微软雅黑" w:eastAsia="微软雅黑" w:cs="微软雅黑"/>
          <w:b/>
          <w:bCs/>
          <w:color w:val="2C2C2C"/>
          <w:sz w:val="24"/>
          <w:szCs w:val="24"/>
        </w:rPr>
        <w:t xml:space="preserve"> </w:t>
      </w:r>
      <w:r>
        <w:rPr>
          <w:rFonts w:ascii="微软雅黑" w:hAnsi="微软雅黑" w:eastAsia="微软雅黑" w:cs="微软雅黑"/>
          <w:b/>
          <w:bCs/>
          <w:color w:val="2C2C2C"/>
          <w:sz w:val="24"/>
          <w:szCs w:val="24"/>
          <w:lang w:val="en-US" w:eastAsia="zh-CN"/>
        </w:rPr>
        <w:t>某资产管理公司诉某水产公司、某海洋产业公司等金融借款合</w:t>
      </w:r>
      <w:r>
        <w:rPr>
          <w:rFonts w:hint="eastAsia" w:ascii="微软雅黑" w:hAnsi="微软雅黑" w:eastAsia="微软雅黑" w:cs="微软雅黑"/>
          <w:b/>
          <w:bCs/>
          <w:color w:val="2C2C2C"/>
          <w:sz w:val="24"/>
          <w:szCs w:val="24"/>
          <w:lang w:val="en-US" w:eastAsia="zh-CN"/>
        </w:rPr>
        <w:t xml:space="preserve">同纠纷案 </w:t>
      </w:r>
    </w:p>
    <w:p w14:paraId="430F5894">
      <w:pPr>
        <w:spacing w:after="120" w:line="360" w:lineRule="auto"/>
        <w:jc w:val="center"/>
        <w:rPr>
          <w:rFonts w:ascii="微软雅黑" w:hAnsi="微软雅黑" w:eastAsia="微软雅黑" w:cs="微软雅黑"/>
          <w:b/>
          <w:bCs/>
          <w:color w:val="2C2C2C"/>
          <w:sz w:val="24"/>
          <w:szCs w:val="24"/>
        </w:rPr>
      </w:pPr>
      <w:r>
        <w:rPr>
          <w:rFonts w:ascii="微软雅黑" w:hAnsi="微软雅黑" w:eastAsia="微软雅黑" w:cs="微软雅黑"/>
          <w:b/>
          <w:bCs/>
          <w:color w:val="2C2C2C"/>
          <w:sz w:val="24"/>
          <w:szCs w:val="24"/>
          <w:lang w:val="en-US" w:eastAsia="zh-CN"/>
        </w:rPr>
        <w:t>——第三人承诺在借款未获清偿时收购案涉抵押物和质押物成立“非典</w:t>
      </w:r>
      <w:r>
        <w:rPr>
          <w:rFonts w:hint="eastAsia" w:ascii="微软雅黑" w:hAnsi="微软雅黑" w:eastAsia="微软雅黑" w:cs="微软雅黑"/>
          <w:b/>
          <w:bCs/>
          <w:color w:val="2C2C2C"/>
          <w:sz w:val="24"/>
          <w:szCs w:val="24"/>
          <w:lang w:val="en-US" w:eastAsia="zh-CN"/>
        </w:rPr>
        <w:t>型保证”及其责任的认定</w:t>
      </w:r>
    </w:p>
    <w:p w14:paraId="2E6CA6DD">
      <w:pPr>
        <w:spacing w:after="120" w:line="360" w:lineRule="auto"/>
        <w:jc w:val="right"/>
        <w:rPr>
          <w:rFonts w:hint="eastAsia" w:cs="微软雅黑"/>
          <w:b/>
          <w:bCs/>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2023-10-2-103-003  </w:t>
      </w:r>
    </w:p>
    <w:p w14:paraId="71A1AC9C">
      <w:pPr>
        <w:spacing w:after="120" w:line="360" w:lineRule="auto"/>
        <w:ind w:firstLine="480"/>
        <w:rPr>
          <w:rFonts w:ascii="微软雅黑" w:hAnsi="微软雅黑" w:eastAsia="微软雅黑" w:cs="微软雅黑"/>
          <w:b/>
          <w:bCs/>
          <w:color w:val="2C2C2C"/>
          <w:sz w:val="24"/>
          <w:szCs w:val="24"/>
        </w:rPr>
      </w:pPr>
      <w:r>
        <w:rPr>
          <w:rFonts w:ascii="微软雅黑" w:hAnsi="微软雅黑" w:eastAsia="微软雅黑" w:cs="微软雅黑"/>
          <w:b/>
          <w:bCs/>
          <w:color w:val="2C2C2C"/>
          <w:sz w:val="24"/>
          <w:szCs w:val="24"/>
        </w:rPr>
        <w:t>裁判要旨</w:t>
      </w:r>
    </w:p>
    <w:p w14:paraId="6AB78E80">
      <w:pPr>
        <w:spacing w:after="120" w:line="360" w:lineRule="auto"/>
        <w:ind w:firstLine="480"/>
        <w:rPr>
          <w:sz w:val="24"/>
          <w:szCs w:val="24"/>
        </w:rPr>
      </w:pPr>
      <w:r>
        <w:rPr>
          <w:rFonts w:ascii="微软雅黑" w:hAnsi="微软雅黑" w:eastAsia="微软雅黑" w:cs="微软雅黑"/>
          <w:color w:val="2C2C2C"/>
          <w:sz w:val="24"/>
          <w:szCs w:val="24"/>
          <w:lang w:val="en-US" w:eastAsia="zh-CN"/>
        </w:rPr>
        <w:t>金融借款合同法律关系中，借款人以其海域使用权设定抵押，借款</w:t>
      </w:r>
      <w:r>
        <w:rPr>
          <w:rFonts w:hint="eastAsia" w:ascii="微软雅黑" w:hAnsi="微软雅黑" w:eastAsia="微软雅黑" w:cs="微软雅黑"/>
          <w:color w:val="2C2C2C"/>
          <w:sz w:val="24"/>
          <w:szCs w:val="24"/>
          <w:lang w:val="en-US" w:eastAsia="zh-CN"/>
        </w:rPr>
        <w:t>人的股东以其所持借款人的股权设定质押，担保人向银行出具的关于借款人未按约履行还款义务时，其对已设定的抵押和质押，将以不低于未获清偿借款本息的价格收购的承诺，实系提高抵押物和质押物变现能力的增信措施，具有担保案涉债权实现的作用，其性质应认定为“非典型保证”，可依据《民法典》担保司法解释第三十六条第四款的规定，判令该担保人对主债务人、抵押人、出质人、保证人均不能清偿的部分承担补充赔偿责任。</w:t>
      </w:r>
    </w:p>
    <w:p w14:paraId="4FDA1AFA">
      <w:pPr>
        <w:spacing w:after="120" w:line="360" w:lineRule="auto"/>
        <w:ind w:firstLine="480"/>
        <w:rPr>
          <w:rFonts w:ascii="微软雅黑" w:hAnsi="微软雅黑" w:eastAsia="微软雅黑" w:cs="微软雅黑"/>
          <w:b/>
          <w:bCs/>
          <w:color w:val="2C2C2C"/>
          <w:sz w:val="24"/>
          <w:szCs w:val="24"/>
        </w:rPr>
      </w:pPr>
      <w:r>
        <w:rPr>
          <w:rFonts w:ascii="微软雅黑" w:hAnsi="微软雅黑" w:eastAsia="微软雅黑" w:cs="微软雅黑"/>
          <w:b/>
          <w:bCs/>
          <w:color w:val="2C2C2C"/>
          <w:sz w:val="24"/>
          <w:szCs w:val="24"/>
          <w:lang w:val="en-US" w:eastAsia="zh-CN"/>
        </w:rPr>
        <w:t xml:space="preserve">基本案情 </w:t>
      </w:r>
    </w:p>
    <w:p w14:paraId="7448EE88">
      <w:pPr>
        <w:spacing w:after="120" w:line="360" w:lineRule="auto"/>
        <w:ind w:firstLine="480"/>
        <w:rPr>
          <w:rFonts w:ascii="微软雅黑" w:hAnsi="微软雅黑" w:eastAsia="微软雅黑" w:cs="微软雅黑"/>
          <w:color w:val="2C2C2C"/>
          <w:sz w:val="24"/>
          <w:szCs w:val="24"/>
        </w:rPr>
      </w:pPr>
      <w:r>
        <w:rPr>
          <w:rFonts w:ascii="微软雅黑" w:hAnsi="微软雅黑" w:eastAsia="微软雅黑" w:cs="微软雅黑"/>
          <w:color w:val="2C2C2C"/>
          <w:sz w:val="24"/>
          <w:szCs w:val="24"/>
          <w:lang w:val="en-US" w:eastAsia="zh-CN"/>
        </w:rPr>
        <w:t>原告某资产管理公司自中国某银行股份有限公司（以下简称某银行</w:t>
      </w:r>
      <w:r>
        <w:rPr>
          <w:rFonts w:hint="eastAsia" w:ascii="微软雅黑" w:hAnsi="微软雅黑" w:eastAsia="微软雅黑" w:cs="微软雅黑"/>
          <w:color w:val="2C2C2C"/>
          <w:sz w:val="24"/>
          <w:szCs w:val="24"/>
          <w:lang w:val="en-US" w:eastAsia="zh-CN"/>
        </w:rPr>
        <w:t xml:space="preserve">）处受让案涉债权，基于案涉债权及其上设立的担保，诉请：1.某水产公司偿还贷款本金及利息、罚息、复利（基于借款合同）；2.对某水产公司的海域使用权享有抵押权（基于海域使用权抵押合同）；3.对彭某、吕某、孙某某持有的某水产公司股权享有质押权（基于股权质押合同）；4.彭某、吕某、孙某某对上述债务承担连带清偿责任（基于保证合同）；5.某海洋产业公司对某水产公司的上述债务承担共同还款责任（基于某海洋产业公司出具的《承诺函》系债务加入）；6.韩某以与孙某某的夫妻共同财产对上述债务承担连带清偿责任（孙某某与韩某在案涉合同签订之时为夫妻）；7.丁某以其名下的属于其与孙某某夫妻共有财产的二分之一对被告某水产公司的上述债务承担清偿责任（孙某某与丁某在起诉时为夫妻）。 </w:t>
      </w:r>
    </w:p>
    <w:p w14:paraId="5ECBFBDD">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被告某水产公司、彭某、吕某未答辩。 </w:t>
      </w:r>
    </w:p>
    <w:p w14:paraId="63400956">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被告某海洋产业公司辩称，原告请求某海洋产业公司对某水产公司债务承担“共同偿还责任”没有事实和法律依据。首先，某海洋产业公司不是共同借款人。其次，《承诺函》没有债务加入或保证的意思。 </w:t>
      </w:r>
    </w:p>
    <w:p w14:paraId="167C983F">
      <w:pPr>
        <w:numPr>
          <w:ilvl w:val="0"/>
          <w:numId w:val="0"/>
        </w:numPr>
        <w:spacing w:after="120" w:line="360" w:lineRule="auto"/>
        <w:ind w:firstLine="480" w:firstLineChars="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1.无“保证”及“债务加入”的措辞。2.《承诺函》因交易一方主体缺失、交易价款的不明确、转让标的的特殊性，并非一份成立生效的买卖合同。3.其实质系对案涉借款的增信措施，不具有法律约束力。一是截至2020年7月某银行从未向某海洋产业公司主张收购或还款责任，其权利成立也已超过诉讼时效或保证责任期间；二是某海洋产业公司作为拟上市股份有限公司，对于对外提供担保等任何承担责任或对公司产生重大影响决定均需股东大会决定，出具《承诺函》仅附董事会决议，且某银行未要求某海洋产业公司提供公司章程。4.本案情形非信托业务中的承诺回购金融产品，不具备从属性也不属于主债务人，不属于保证责任。5.根据合同相对性原则，某银行未经某海洋产业公司同意转让债权后，此种责任某海洋产业公司也不再对债权受让方某资产管理公司承担。6.从因果关系来看，某海洋产业公司未依照《承诺函》进行收购，不必然导致某银行遭受经济损失。即使法院最终认定某海洋产业公司对某资产管理公司承担保证责任，也应待某资产管理公司从债务人、抵押质押财产及保证人受偿不能时再向某海洋产业公司主张。 </w:t>
      </w:r>
    </w:p>
    <w:p w14:paraId="67C180FC">
      <w:pPr>
        <w:numPr>
          <w:ilvl w:val="0"/>
          <w:numId w:val="0"/>
        </w:numPr>
        <w:spacing w:after="120" w:line="360" w:lineRule="auto"/>
        <w:ind w:firstLine="480" w:firstLineChars="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被告孙某某、韩某、丁某答称：原告诉请与事实不符，于法无据，请求驳回其全部诉讼请求。孙某某非某水产公司股东，某水产公司的工商登记档案中“孙某某”的签名皆为伪造。原告提交的两份《担保合同》以及权利质押清单上的签名、捺印皆非孙某某和韩某本人所做，对其不具有法律约束力。 </w:t>
      </w:r>
    </w:p>
    <w:p w14:paraId="35914478">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法院经审理查明：2013年11月15日，某银行与某水产公司签订《固定资产贷款借款合同》，约定借款1.8亿元，期限自2013年11月15日至2018年5月15日，还就利息、罚息、复利计收等进行了约定。就案涉借款，某银行与某水产公司就后者所有的两处海域使用权签订《抵押合同》并登记，与彭某、吕某就两人分别持有的某水产公司股权签订《担保合同》并登记，与彭某、吕某分别签订《担保合同》，约定上述二人承担连带责任保证。 </w:t>
      </w:r>
    </w:p>
    <w:p w14:paraId="4EC053CE">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同日，山东某某水产股份有限公司（2017年7月28日更名为某海洋产业公司）向某银行出具《承诺函》，承诺在某水产公司未按约履行偿还贷款本息义务时，其将以不低于未获清偿借款本息的价格收购抵押的海域使用权或质押的股权，收购资金于触发收购条件后十个工作日内支付至某水产公司/股东在某银行开立的还款专户。一并附上法定代表人和董事签字、加盖公章的董事会决议。 </w:t>
      </w:r>
    </w:p>
    <w:p w14:paraId="108EECE2">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其后，某银行先后两次共发放贷款1.8亿元。某水产公司在2018年8月偿还本金5863.67元，其余本金均未偿付；在2015年9月前偿还部分利息，此后再未偿付过利息。 </w:t>
      </w:r>
    </w:p>
    <w:p w14:paraId="382B6AF2">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2019年8月，某银行将本案所涉债权及全部从权利转让给某资产管理公司，两者于2019年9月共同在《金融时报》发布《债权转让暨债务催收联合公告》，公告清单记载有案涉《承诺函》。 </w:t>
      </w:r>
    </w:p>
    <w:p w14:paraId="4F458611">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经法院委托鉴定，案涉合同中“孙某某”“韩某”的签名及指印均非孙某某、韩某本人作出。 </w:t>
      </w:r>
    </w:p>
    <w:p w14:paraId="6125F9CB">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青岛海事法院于2021年5月27日作出（2020）鲁72民初2175号民事判决：一、某水产公司在本判决生效之日起十日内，偿还某资产管理公司贷款本金179994136.33元及利息（包括罚息、复利）合计60345080.83元（暂计算至2019年5月31日），并以上述本金和利息（罚息、复利）之和为基准，自2019年6月1日起至2019年8月19日以9.2625%的利率计付利息 ，自2019年8月20日起至实际给付之日止，按同期全国银行间同业拆借中心公布的贷款市场报价利率上浮95%计付利息；二、某资产管理公司有权在上述债权范围内，就某水产公司所有的海域使用权折价或者以拍卖、变卖所得价款优先受偿；三、某资产管理公司有权在上述债权范围内，就彭某名下的790万股股权折价或者以拍卖、变卖所得价款优先受偿；彭某承担担保责任后，有权向某水产公司追偿；四、某资产管理公司有权在上述债权范围内，就吕某名下的10万股股权折价或者以拍卖、变卖所得价款优先受偿；吕某承担担保责任后，有权向某水产公司追偿；五、彭某、吕某对某水产公司的上述债务承担连带清偿责任，彭某、吕某承担保证责任后，有权向某水产公司追偿；六、对本判决第一项确定的债权，某海洋产业公司对某水产公司和上述担保均不能清偿部分承担补充赔偿责任，某海洋产业公司承担责任后，有权向某水产公司追偿；七、依据以上判项实际支付的款项之和，不得大于某水产公司应支付的本金和利息（包括罚息、复利）之和；八、驳回某资产管理公司的其他诉讼请求。 </w:t>
      </w:r>
    </w:p>
    <w:p w14:paraId="1A69DC8D">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宣判后，各方当事人均未提出上诉，判决已发生法律效力。 </w:t>
      </w:r>
    </w:p>
    <w:p w14:paraId="0E036770">
      <w:pPr>
        <w:spacing w:after="120" w:line="360" w:lineRule="auto"/>
        <w:ind w:firstLine="480"/>
        <w:rPr>
          <w:rFonts w:ascii="微软雅黑" w:hAnsi="微软雅黑" w:eastAsia="微软雅黑" w:cs="微软雅黑"/>
          <w:b/>
          <w:bCs/>
          <w:color w:val="2C2C2C"/>
          <w:sz w:val="24"/>
          <w:szCs w:val="24"/>
        </w:rPr>
      </w:pPr>
      <w:r>
        <w:rPr>
          <w:rFonts w:hint="default" w:ascii="微软雅黑" w:hAnsi="微软雅黑" w:eastAsia="微软雅黑" w:cs="微软雅黑"/>
          <w:b/>
          <w:bCs/>
          <w:color w:val="2C2C2C"/>
          <w:sz w:val="24"/>
          <w:szCs w:val="24"/>
          <w:lang w:val="en-US" w:eastAsia="zh-CN"/>
        </w:rPr>
        <w:t xml:space="preserve">裁判理由 </w:t>
      </w:r>
    </w:p>
    <w:p w14:paraId="3B370826">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法院生效裁判认为：本案系金融借款合同纠纷。某水产公司、彭某和吕某与某银行签订的合同、某资产管理公司与某银行签订的《债权转让协议》，均系合同各方当事人的真实意思表示，不违反我国法律和行政法规的强制性规定，合法有效，对当事人具有法律约束力，各方应遵循诚实信用原则全面履行相应的义务。孙某某、韩某签订的合同系伪造，非其真实意思表示，所涉担保合同不成立，孙某某、韩某、丁某不承担责任。 </w:t>
      </w:r>
    </w:p>
    <w:p w14:paraId="175C39D7">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关于某海洋产业公司的责任认定如下： </w:t>
      </w:r>
    </w:p>
    <w:p w14:paraId="39C62BC1">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一、效力认定。某海洋产业公司提交了《董事会决议》，某银行尽到了形式审查义务，某海洋产业公司出具《承诺函》系其真实意思表示，内容不违反法律法规强制性规定，该《承诺函》合法有效，对某银行和某海洋产业公司具有法律约束力。 </w:t>
      </w:r>
    </w:p>
    <w:p w14:paraId="3C2FB104">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二、性质认定。1.关于收购价格，对于涉案如此大宗的收购行为并没有明确具体价格，而是承诺以“不低于某银行未获清偿借款本息的收购价格”进行收购。2.关于收购条件，“在发生某水产公司未按约向某银行履行偿还贷款本息义务等情况时”触发收购行为。3.关于收购标的物，系“某水产公司抵押于某银行的海域使用权及其附属资产” 和已经设定质押的“股东彭某、吕某、孙某某分别持有的某水产公司合计100%的股权”，某海洋产业公司明知其不是一般意义上具有使用和交换价值的“正资产”，而是负有1.8亿本金及利息抵押/质押责任的资产，对风险有充分预知。4.关于支付方式，“收购资金于触发收购条件后十个工作日内直接支付至”在某银行开立的账户，某水产公司和股东不能实际控制“收购资金”。综上，《承诺函》所涉的“收购”条件与“出卖方（海域使用权人）”的意思表示无关，“收购”价格与标的物无关，反而均取决于案涉主合同的履行情况，有明显的对欠付借款进行差额补足的意思表示，不能依据《承诺函》认定某海洋产业公司负有合同法意义上的“收购”义务。某海洋产业公司没有“加入债务”“共同还款”的意思表示，《承诺函》中也没有类似表述，某海洋产业公司所负的债务与主债务没有同一性，某资产管理公司关于某海洋产业公司成立债务加入的主张不成立。 </w:t>
      </w:r>
    </w:p>
    <w:p w14:paraId="5D67A2BD">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承诺函》系在“收购”的外观下，对未获清偿本息承担差额补足的义务，具有从属于主借款合同、保障主合同实现的性质，提高了借款抵押物和质押物的变现偿债能力，系某海洋产业公司向某银行提供的增信措施，具有担保案涉债权实现的作用。 </w:t>
      </w:r>
    </w:p>
    <w:p w14:paraId="0637D565">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本案涉及的法律事实发生在《民法典》施行前，当时的法律、司法解释没有规定而《民法典》有规定的，依照《最高人民法院关于适用&lt;中华人民共和国民法典&gt;时间效力的若干规定》第三条，应适用《民法典》的规定。依照《最高人民法院关于适用&lt;中华人民共和国民法典&gt;有关担保制度的解释》第三十六条规定，第三人某海洋产业公司向债权人某银行提供差额补足等类似承诺文件作为增信措施，具有提供担保的意思表示。某资产管理公司主张某海洋产业公司债务加入的请求不成立，某资产管理公司要求某海洋产业公司承担还款责任的意思表示是明确的，依据第三十六条第四款，某海洋产业公司应承担对欠付借款本息差额补足的担保义务。 </w:t>
      </w:r>
    </w:p>
    <w:p w14:paraId="01010A12">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三、责任认定。某银行作为专门从事金融服务的商业机构，在金融领域尤其是金融借款经营活动中处于优势地位，具有更多的专业知识，拥有较强的缔约能力，具备明晰各方法律关系、权利义务的能力，理应在审核授信时更有专业经验。其所接受的某海洋产业公司提供的《承诺函》约定的权利义务并不明确，甚至名义义务与实质义务并不一致，某银行应承担约定不明、法院进行不利解释的后果。为了明确各方当事人权利义务关系，便于案件执行，且平衡保护债权人与某海洋产业公司的权益，本院认定某海洋产业公司承担补充性赔偿责任，即对主债务人、抵押人、出质人、保证人均不能清偿的部分承担补充赔偿责任。 </w:t>
      </w:r>
    </w:p>
    <w:p w14:paraId="278A5C4A">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四、关于诉讼时效。应以案涉借款合同最后一期履行期限届满之日，即2018年5月15日起计算三年诉讼时效。2019年9月，某银行与某资产管理公司在《金融时报》发布《联合公告》，公告清单中记载有案涉《承诺函》，2020年6月某资产管理公司向青岛中院起诉，未超过三年诉讼时效期间。 </w:t>
      </w:r>
    </w:p>
    <w:p w14:paraId="26951A92">
      <w:pPr>
        <w:spacing w:after="120" w:line="360" w:lineRule="auto"/>
        <w:ind w:firstLine="480"/>
        <w:rPr>
          <w:rFonts w:ascii="微软雅黑" w:hAnsi="微软雅黑" w:eastAsia="微软雅黑" w:cs="微软雅黑"/>
          <w:b/>
          <w:bCs/>
          <w:color w:val="2C2C2C"/>
          <w:sz w:val="24"/>
          <w:szCs w:val="24"/>
        </w:rPr>
      </w:pPr>
      <w:r>
        <w:rPr>
          <w:rFonts w:hint="default" w:ascii="微软雅黑" w:hAnsi="微软雅黑" w:eastAsia="微软雅黑" w:cs="微软雅黑"/>
          <w:b/>
          <w:bCs/>
          <w:color w:val="2C2C2C"/>
          <w:sz w:val="24"/>
          <w:szCs w:val="24"/>
          <w:lang w:val="en-US" w:eastAsia="zh-CN"/>
        </w:rPr>
        <w:t xml:space="preserve">关联索引 </w:t>
      </w:r>
    </w:p>
    <w:p w14:paraId="153971E7">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《中华人民共和国民法典》第681条 </w:t>
      </w:r>
    </w:p>
    <w:p w14:paraId="569A57F9">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《最高人民法院关于适用&lt;中华人民共和国民法典&gt;有关担保制度的解释》第36条 </w:t>
      </w:r>
    </w:p>
    <w:p w14:paraId="7713D933">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《最高人民法院关于适用&lt;中华人民共和国民法典&gt;时间效力的若干规定》第3条 </w:t>
      </w:r>
    </w:p>
    <w:p w14:paraId="0E0DBDD1">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一审：青岛海事法院（2020）鲁72民初2175号民事判决（2021年5月27日） </w:t>
      </w:r>
    </w:p>
    <w:p w14:paraId="1BAD1FA6">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b w:val="0"/>
          <w:bCs w:val="0"/>
          <w:color w:val="2C2C2C"/>
          <w:sz w:val="24"/>
          <w:szCs w:val="24"/>
          <w:lang w:val="en-US" w:eastAsia="zh-CN"/>
        </w:rPr>
        <w:t>本案例文本已于2024年3月8日作出调整</w:t>
      </w:r>
    </w:p>
    <w:p w14:paraId="337DD1B2">
      <w:pPr>
        <w:spacing w:after="120" w:line="360" w:lineRule="auto"/>
        <w:ind w:firstLine="480"/>
        <w:rPr>
          <w:rFonts w:ascii="微软雅黑" w:hAnsi="微软雅黑" w:eastAsia="微软雅黑" w:cs="微软雅黑"/>
          <w:color w:val="2C2C2C"/>
          <w:sz w:val="24"/>
          <w:szCs w:val="24"/>
        </w:rPr>
      </w:pPr>
    </w:p>
    <w:p w14:paraId="47B00364">
      <w:pPr>
        <w:spacing w:after="120" w:line="360" w:lineRule="auto"/>
        <w:jc w:val="center"/>
        <w:rPr>
          <w:rFonts w:ascii="微软雅黑" w:hAnsi="微软雅黑" w:eastAsia="微软雅黑" w:cs="微软雅黑"/>
          <w:b/>
          <w:bCs/>
          <w:color w:val="2C2C2C"/>
          <w:sz w:val="24"/>
          <w:szCs w:val="24"/>
        </w:rPr>
      </w:pPr>
      <w:r>
        <w:rPr>
          <w:rFonts w:hint="eastAsia" w:cs="微软雅黑"/>
          <w:b/>
          <w:bCs/>
          <w:color w:val="2C2C2C"/>
          <w:sz w:val="24"/>
          <w:szCs w:val="24"/>
          <w:lang w:val="en-US" w:eastAsia="zh-CN"/>
        </w:rPr>
        <w:t>5</w:t>
      </w:r>
      <w:r>
        <w:rPr>
          <w:rFonts w:hint="eastAsia" w:cs="微软雅黑"/>
          <w:b/>
          <w:bCs/>
          <w:color w:val="2C2C2C"/>
          <w:sz w:val="24"/>
          <w:szCs w:val="24"/>
          <w:lang w:eastAsia="zh-CN"/>
        </w:rPr>
        <w:t>.</w:t>
      </w:r>
      <w:r>
        <w:rPr>
          <w:rFonts w:ascii="微软雅黑" w:hAnsi="微软雅黑" w:eastAsia="微软雅黑" w:cs="微软雅黑"/>
          <w:b/>
          <w:bCs/>
          <w:color w:val="2C2C2C"/>
          <w:sz w:val="24"/>
          <w:szCs w:val="24"/>
        </w:rPr>
        <w:t xml:space="preserve"> </w:t>
      </w:r>
      <w:r>
        <w:rPr>
          <w:rFonts w:ascii="微软雅黑" w:hAnsi="微软雅黑" w:eastAsia="微软雅黑" w:cs="微软雅黑"/>
          <w:b/>
          <w:bCs/>
          <w:color w:val="2C2C2C"/>
          <w:sz w:val="24"/>
          <w:szCs w:val="24"/>
          <w:lang w:val="en-US" w:eastAsia="zh-CN"/>
        </w:rPr>
        <w:t xml:space="preserve">曹妃甸某银行诉迁西某商贸公司等金融借款合同纠纷案 </w:t>
      </w:r>
    </w:p>
    <w:p w14:paraId="5F2EDF30">
      <w:pPr>
        <w:spacing w:after="120" w:line="360" w:lineRule="auto"/>
        <w:jc w:val="center"/>
        <w:rPr>
          <w:rFonts w:ascii="微软雅黑" w:hAnsi="微软雅黑" w:eastAsia="微软雅黑" w:cs="微软雅黑"/>
          <w:b/>
          <w:bCs/>
          <w:color w:val="2C2C2C"/>
          <w:sz w:val="24"/>
          <w:szCs w:val="24"/>
        </w:rPr>
      </w:pPr>
      <w:r>
        <w:rPr>
          <w:rFonts w:ascii="微软雅黑" w:hAnsi="微软雅黑" w:eastAsia="微软雅黑" w:cs="微软雅黑"/>
          <w:b/>
          <w:bCs/>
          <w:color w:val="2C2C2C"/>
          <w:sz w:val="24"/>
          <w:szCs w:val="24"/>
          <w:lang w:val="en-US" w:eastAsia="zh-CN"/>
        </w:rPr>
        <w:t>——单位工作人员涉嫌刑事犯罪不影响对方当事人依据合同对该单位提</w:t>
      </w:r>
      <w:r>
        <w:rPr>
          <w:rFonts w:hint="eastAsia" w:ascii="微软雅黑" w:hAnsi="微软雅黑" w:eastAsia="微软雅黑" w:cs="微软雅黑"/>
          <w:b/>
          <w:bCs/>
          <w:color w:val="2C2C2C"/>
          <w:sz w:val="24"/>
          <w:szCs w:val="24"/>
          <w:lang w:val="en-US" w:eastAsia="zh-CN"/>
        </w:rPr>
        <w:t>起民事诉讼</w:t>
      </w:r>
    </w:p>
    <w:p w14:paraId="6DEC7A9A">
      <w:pPr>
        <w:spacing w:after="120" w:line="360" w:lineRule="auto"/>
        <w:jc w:val="right"/>
        <w:rPr>
          <w:rFonts w:hint="eastAsia" w:cs="微软雅黑"/>
          <w:b/>
          <w:bCs/>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2023-01-2-103-002  </w:t>
      </w:r>
    </w:p>
    <w:p w14:paraId="5B50FC25">
      <w:pPr>
        <w:spacing w:after="120" w:line="360" w:lineRule="auto"/>
        <w:ind w:firstLine="480"/>
        <w:rPr>
          <w:rFonts w:ascii="微软雅黑" w:hAnsi="微软雅黑" w:eastAsia="微软雅黑" w:cs="微软雅黑"/>
          <w:b/>
          <w:bCs/>
          <w:color w:val="2C2C2C"/>
          <w:sz w:val="24"/>
          <w:szCs w:val="24"/>
        </w:rPr>
      </w:pPr>
      <w:r>
        <w:rPr>
          <w:rFonts w:ascii="微软雅黑" w:hAnsi="微软雅黑" w:eastAsia="微软雅黑" w:cs="微软雅黑"/>
          <w:b/>
          <w:bCs/>
          <w:color w:val="2C2C2C"/>
          <w:sz w:val="24"/>
          <w:szCs w:val="24"/>
        </w:rPr>
        <w:t>裁判要旨</w:t>
      </w:r>
    </w:p>
    <w:p w14:paraId="702BCD1C">
      <w:pPr>
        <w:spacing w:after="120" w:line="360" w:lineRule="auto"/>
        <w:ind w:firstLine="480"/>
        <w:rPr>
          <w:rFonts w:hint="eastAsia" w:ascii="微软雅黑" w:hAnsi="微软雅黑" w:eastAsia="微软雅黑" w:cs="微软雅黑"/>
          <w:color w:val="2C2C2C"/>
          <w:sz w:val="24"/>
          <w:szCs w:val="24"/>
          <w:lang w:val="en-US" w:eastAsia="zh-CN"/>
        </w:rPr>
      </w:pPr>
      <w:r>
        <w:rPr>
          <w:rFonts w:ascii="微软雅黑" w:hAnsi="微软雅黑" w:eastAsia="微软雅黑" w:cs="微软雅黑"/>
          <w:color w:val="2C2C2C"/>
          <w:sz w:val="24"/>
          <w:szCs w:val="24"/>
          <w:lang w:val="en-US" w:eastAsia="zh-CN"/>
        </w:rPr>
        <w:t>民刑案件是否构成“同一事实”，是选择刑事程序吸收民事程序还</w:t>
      </w:r>
      <w:r>
        <w:rPr>
          <w:rFonts w:hint="eastAsia" w:ascii="微软雅黑" w:hAnsi="微软雅黑" w:eastAsia="微软雅黑" w:cs="微软雅黑"/>
          <w:color w:val="2C2C2C"/>
          <w:sz w:val="24"/>
          <w:szCs w:val="24"/>
          <w:lang w:val="en-US" w:eastAsia="zh-CN"/>
        </w:rPr>
        <w:t>是“刑民并行”程序的核心标准。如何认定刑事案件与民事案件交叉中涉及的事实是“同一事实”，总体上看，应该是民事案件与刑事案件的主体相同，且案件基本事实存在竞合或者基本竞合的，可以认定民事案件与刑事案件构成“同一事实”。如果民事案件当事人双方与刑事案件的主体不一致的，不能认定为“同一事实”。刑事案件定罪量刑的事实与民事案件的基本事实无关的，即使主体相同，也不构成“同一事实”。即如本案中行为人董某某，在正常订立贷款合同后采取欺诈手段拒不还贷，涉嫌职务侵占罪、伪造、变造、买卖国家机关公文、证件、印章罪的，因金融借款合同的逾期还款违约事实的认定，不受合同履行过程中犯罪的影响，人民法院对金融借款纠纷可继续审理。</w:t>
      </w:r>
    </w:p>
    <w:p w14:paraId="77AF6D65">
      <w:pPr>
        <w:spacing w:after="120" w:line="360" w:lineRule="auto"/>
        <w:ind w:firstLine="480"/>
        <w:rPr>
          <w:rFonts w:hint="eastAsia" w:ascii="微软雅黑" w:hAnsi="微软雅黑" w:eastAsia="微软雅黑" w:cs="微软雅黑"/>
          <w:b/>
          <w:bCs/>
          <w:color w:val="2C2C2C"/>
          <w:sz w:val="24"/>
          <w:szCs w:val="24"/>
          <w:lang w:val="en-US" w:eastAsia="zh-CN"/>
        </w:rPr>
      </w:pPr>
      <w:r>
        <w:rPr>
          <w:rFonts w:hint="eastAsia" w:ascii="微软雅黑" w:hAnsi="微软雅黑" w:eastAsia="微软雅黑" w:cs="微软雅黑"/>
          <w:b/>
          <w:bCs/>
          <w:color w:val="2C2C2C"/>
          <w:sz w:val="24"/>
          <w:szCs w:val="24"/>
          <w:lang w:val="en-US" w:eastAsia="zh-CN"/>
        </w:rPr>
        <w:t xml:space="preserve">基本案情 </w:t>
      </w:r>
    </w:p>
    <w:p w14:paraId="7D118ED8">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原告曹妃甸某银行诉称，2015年12月30日，原告与迁西某商贸公司、唐山某公司签订一份《借款协议》，约定原告借给迁西某商贸公司3000万元，借款利息为月利率7.413125‰，借款期限至2016年12月28日，并约定由唐山某公司提供抵押担保。贷款到期后，借款人迁西某商贸公司未能按期偿还贷款，至起诉时尚欠借款本金3000万元及截至2018年1月4日所欠利息5456059元。故请求判令：一、迁西某商贸公司偿还借款本金3000万元及所欠利息5456059元；2、唐山某公司承担抵押担保责任；3、由迁西某商贸公司、唐山某公司承担本案诉讼费用。</w:t>
      </w:r>
    </w:p>
    <w:p w14:paraId="3A05AB18">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河北省唐山市中级人民法院于2018年12月28日作出（2018）冀02民初20号民事裁定：驳回原告曹妃甸某银行的起诉。曹妃甸某银行不服该裁定,以本案是金融借款合同纠纷，与董某某涉嫌的职务侵占罪基于不同的事实应当分别审理为由提出上诉。河北省高级人民法院于2019年3月18日作出(2019)冀民终447号民事裁定：驳回上诉，维持原裁定。曹妃甸某银行向最高人民法院申请再审。最高人民法院于2021年12月20日作出（2021）最高法民再358号民事裁定：一、撤销河北省高级人民法院（2019）冀民终447号民事裁定及河北省唐山市中级人民法院（2018）冀02民初20号民事裁定。二、指令河北省唐山市中级人民法院对本案进行审理。 </w:t>
      </w:r>
    </w:p>
    <w:p w14:paraId="6437F546">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b/>
          <w:bCs/>
          <w:color w:val="2C2C2C"/>
          <w:sz w:val="24"/>
          <w:szCs w:val="24"/>
          <w:lang w:val="en-US" w:eastAsia="zh-CN"/>
        </w:rPr>
        <w:t>裁判理由</w:t>
      </w:r>
      <w:r>
        <w:rPr>
          <w:rFonts w:hint="eastAsia" w:ascii="微软雅黑" w:hAnsi="微软雅黑" w:eastAsia="微软雅黑" w:cs="微软雅黑"/>
          <w:color w:val="2C2C2C"/>
          <w:sz w:val="24"/>
          <w:szCs w:val="24"/>
          <w:lang w:val="en-US" w:eastAsia="zh-CN"/>
        </w:rPr>
        <w:t xml:space="preserve"> </w:t>
      </w:r>
    </w:p>
    <w:p w14:paraId="38C2F288">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法院生效裁判认为，本案中，在由唐山某公司提供抵押担保的借款法律关系中，存在出借人曹妃甸某银行与借款人迁西某商贸公司之间的借款关系以及出借人曹妃甸某银行与唐山某公司的抵押担保关系两种法律关系，而担保人唐山某公司法定代表人董某某个人涉嫌职务侵占罪，并不涉及担保法律关系。刑事案件的犯罪嫌疑人与借款法律关系中的担保人并不重合。唐山某公司提供担保与董某某个人涉嫌职务侵占两个行为实施的主体不同，且民事案件争议的事实与构成董某某刑事犯罪的要件事实不同，唐山某公司因董某某刑事犯罪所受损失与本案审理的借款担保法律关系无关，曹妃甸某银行请求迁西某商贸公司、唐山某公司承担还款责任的责任主体与刑事案件的责任主体并不一致。故本案审理的借款担保法律关系与董某某涉嫌职务侵占犯罪并非基于同一法律事实，应适用“刑民分离”的原则。曹妃甸某银行对迁西某商贸公司、唐山某公司提起民事诉讼，符合《民事诉讼法》规定的起诉条件，法院应予受理。原审以董某某利用职务便利所涉犯罪行为与本案所涉贷款存在关联为由，裁定驳回曹妃甸某银行的起诉，事实和法律依据不足。原审裁定适用法律不当，予以纠正。裁定本案指令一审法院审理。 </w:t>
      </w:r>
    </w:p>
    <w:p w14:paraId="4B0010C5">
      <w:pPr>
        <w:spacing w:after="120" w:line="360" w:lineRule="auto"/>
        <w:ind w:firstLine="480"/>
        <w:rPr>
          <w:rFonts w:hint="eastAsia" w:ascii="微软雅黑" w:hAnsi="微软雅黑" w:eastAsia="微软雅黑" w:cs="微软雅黑"/>
          <w:b/>
          <w:bCs/>
          <w:color w:val="2C2C2C"/>
          <w:sz w:val="24"/>
          <w:szCs w:val="24"/>
          <w:lang w:val="en-US" w:eastAsia="zh-CN"/>
        </w:rPr>
      </w:pPr>
      <w:r>
        <w:rPr>
          <w:rFonts w:hint="eastAsia" w:ascii="微软雅黑" w:hAnsi="微软雅黑" w:eastAsia="微软雅黑" w:cs="微软雅黑"/>
          <w:b/>
          <w:bCs/>
          <w:color w:val="2C2C2C"/>
          <w:sz w:val="24"/>
          <w:szCs w:val="24"/>
          <w:lang w:val="en-US" w:eastAsia="zh-CN"/>
        </w:rPr>
        <w:t xml:space="preserve">关联索引 </w:t>
      </w:r>
    </w:p>
    <w:p w14:paraId="2E5FFDB6">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《中华人民共和国民事诉讼法》第122条（本案适用的是2017年修正的《中华人民共和国民事诉讼法》第119条） </w:t>
      </w:r>
    </w:p>
    <w:p w14:paraId="6BABE4AD">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《最高人民法院关于在审理经济纠纷案件中涉及经济犯罪嫌疑若干问题的规定》第1条、第11条。 </w:t>
      </w:r>
    </w:p>
    <w:p w14:paraId="63E2A5A3">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一审：河北省唐山市中级人民法院（2018）冀02民初20号民事裁定（2018年12月28日） </w:t>
      </w:r>
    </w:p>
    <w:p w14:paraId="14DDD223">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二审：河北省高级人民法院（2019）冀民终447号民事裁定（2019年3月18日） </w:t>
      </w:r>
    </w:p>
    <w:p w14:paraId="04654C2A">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再审：最高人民法院（2020）最高法民再238号民事裁定（2021年12月20日）</w:t>
      </w:r>
    </w:p>
    <w:p w14:paraId="4CFE7B81">
      <w:pPr>
        <w:spacing w:after="120" w:line="360" w:lineRule="auto"/>
        <w:jc w:val="center"/>
        <w:rPr>
          <w:rFonts w:hint="eastAsia" w:cs="微软雅黑"/>
          <w:b/>
          <w:bCs/>
          <w:color w:val="2C2C2C"/>
          <w:sz w:val="24"/>
          <w:szCs w:val="24"/>
          <w:lang w:val="en-US" w:eastAsia="zh-CN"/>
        </w:rPr>
      </w:pPr>
    </w:p>
    <w:p w14:paraId="7AEF25A8">
      <w:pPr>
        <w:spacing w:after="120" w:line="360" w:lineRule="auto"/>
        <w:jc w:val="center"/>
        <w:rPr>
          <w:rFonts w:ascii="微软雅黑" w:hAnsi="微软雅黑" w:eastAsia="微软雅黑" w:cs="微软雅黑"/>
          <w:b/>
          <w:bCs/>
          <w:color w:val="2C2C2C"/>
          <w:sz w:val="24"/>
          <w:szCs w:val="24"/>
        </w:rPr>
      </w:pPr>
      <w:r>
        <w:rPr>
          <w:rFonts w:hint="eastAsia" w:cs="微软雅黑"/>
          <w:b/>
          <w:bCs/>
          <w:color w:val="2C2C2C"/>
          <w:sz w:val="24"/>
          <w:szCs w:val="24"/>
          <w:lang w:val="en-US" w:eastAsia="zh-CN"/>
        </w:rPr>
        <w:t>6</w:t>
      </w:r>
      <w:r>
        <w:rPr>
          <w:rFonts w:hint="eastAsia" w:cs="微软雅黑"/>
          <w:b/>
          <w:bCs/>
          <w:color w:val="2C2C2C"/>
          <w:sz w:val="24"/>
          <w:szCs w:val="24"/>
          <w:lang w:eastAsia="zh-CN"/>
        </w:rPr>
        <w:t>.</w:t>
      </w:r>
      <w:r>
        <w:rPr>
          <w:rFonts w:ascii="微软雅黑" w:hAnsi="微软雅黑" w:eastAsia="微软雅黑" w:cs="微软雅黑"/>
          <w:b/>
          <w:bCs/>
          <w:color w:val="2C2C2C"/>
          <w:sz w:val="24"/>
          <w:szCs w:val="24"/>
        </w:rPr>
        <w:t xml:space="preserve"> </w:t>
      </w:r>
      <w:r>
        <w:rPr>
          <w:rFonts w:ascii="微软雅黑" w:hAnsi="微软雅黑" w:eastAsia="微软雅黑" w:cs="微软雅黑"/>
          <w:b/>
          <w:bCs/>
          <w:color w:val="2C2C2C"/>
          <w:sz w:val="24"/>
          <w:szCs w:val="24"/>
          <w:lang w:val="en-US" w:eastAsia="zh-CN"/>
        </w:rPr>
        <w:t xml:space="preserve">揭阳某银行诉陈某、高某、某房地产公司金融借款合同纠纷案 </w:t>
      </w:r>
    </w:p>
    <w:p w14:paraId="203E3BF6">
      <w:pPr>
        <w:spacing w:after="120" w:line="360" w:lineRule="auto"/>
        <w:jc w:val="center"/>
        <w:rPr>
          <w:rFonts w:ascii="微软雅黑" w:hAnsi="微软雅黑" w:eastAsia="微软雅黑" w:cs="微软雅黑"/>
          <w:b/>
          <w:bCs/>
          <w:color w:val="2C2C2C"/>
          <w:sz w:val="24"/>
          <w:szCs w:val="24"/>
        </w:rPr>
      </w:pPr>
      <w:r>
        <w:rPr>
          <w:rFonts w:ascii="微软雅黑" w:hAnsi="微软雅黑" w:eastAsia="微软雅黑" w:cs="微软雅黑"/>
          <w:b/>
          <w:bCs/>
          <w:color w:val="2C2C2C"/>
          <w:sz w:val="24"/>
          <w:szCs w:val="24"/>
          <w:lang w:val="en-US" w:eastAsia="zh-CN"/>
        </w:rPr>
        <w:t>——金融借款合同中抵押权的认定与保证责任承担</w:t>
      </w:r>
    </w:p>
    <w:p w14:paraId="18F07E42">
      <w:pPr>
        <w:spacing w:after="120" w:line="360" w:lineRule="auto"/>
        <w:jc w:val="right"/>
        <w:rPr>
          <w:rFonts w:hint="eastAsia" w:cs="微软雅黑"/>
          <w:b/>
          <w:bCs/>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2023-16-2-103-018  </w:t>
      </w:r>
    </w:p>
    <w:p w14:paraId="37FEBB47">
      <w:pPr>
        <w:spacing w:after="120" w:line="360" w:lineRule="auto"/>
        <w:ind w:firstLine="480"/>
        <w:rPr>
          <w:rFonts w:ascii="微软雅黑" w:hAnsi="微软雅黑" w:eastAsia="微软雅黑" w:cs="微软雅黑"/>
          <w:b/>
          <w:bCs/>
          <w:color w:val="2C2C2C"/>
          <w:sz w:val="24"/>
          <w:szCs w:val="24"/>
        </w:rPr>
      </w:pPr>
      <w:r>
        <w:rPr>
          <w:rFonts w:ascii="微软雅黑" w:hAnsi="微软雅黑" w:eastAsia="微软雅黑" w:cs="微软雅黑"/>
          <w:b/>
          <w:bCs/>
          <w:color w:val="2C2C2C"/>
          <w:sz w:val="24"/>
          <w:szCs w:val="24"/>
        </w:rPr>
        <w:t>裁判要旨</w:t>
      </w:r>
    </w:p>
    <w:p w14:paraId="0C974666">
      <w:pPr>
        <w:spacing w:after="120" w:line="360" w:lineRule="auto"/>
        <w:ind w:firstLine="480"/>
        <w:rPr>
          <w:rFonts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在商品房按揭贷款交易中，办理抵押登记手续是抵押权人和抵押人应当完成的义务，开发商已办理建筑物所有权首次登记及案涉房屋不动产权证书并及时将该不动产权证原件交给了抵押权人即已履行其义务，此时办理抵押登记手续的条件也已成就。因抵押权人与抵押人怠于办理抵押登记手续致使抵押权不成立的，抵押权人与抵押人怠于履行的法律后果应由其自行承担，不应再由开发商承担阶段性连带保证责任，否则可能导致往后开发商不积极办理建筑物所有权登记及不动产权证书，不利于维护良好的房地产交易秩序。 </w:t>
      </w:r>
    </w:p>
    <w:p w14:paraId="460DAE99">
      <w:pPr>
        <w:spacing w:after="120" w:line="360" w:lineRule="auto"/>
        <w:ind w:firstLine="480"/>
        <w:rPr>
          <w:rFonts w:ascii="微软雅黑" w:hAnsi="微软雅黑" w:eastAsia="微软雅黑" w:cs="微软雅黑"/>
          <w:color w:val="2C2C2C"/>
          <w:sz w:val="24"/>
          <w:szCs w:val="24"/>
          <w:lang w:val="en-US" w:eastAsia="zh-CN"/>
        </w:rPr>
      </w:pPr>
      <w:r>
        <w:rPr>
          <w:rFonts w:ascii="微软雅黑" w:hAnsi="微软雅黑" w:eastAsia="微软雅黑" w:cs="微软雅黑"/>
          <w:b/>
          <w:bCs/>
          <w:color w:val="2C2C2C"/>
          <w:sz w:val="24"/>
          <w:szCs w:val="24"/>
          <w:lang w:val="en-US" w:eastAsia="zh-CN"/>
        </w:rPr>
        <w:t>基本案情</w:t>
      </w:r>
      <w:r>
        <w:rPr>
          <w:rFonts w:ascii="微软雅黑" w:hAnsi="微软雅黑" w:eastAsia="微软雅黑" w:cs="微软雅黑"/>
          <w:color w:val="2C2C2C"/>
          <w:sz w:val="24"/>
          <w:szCs w:val="24"/>
          <w:lang w:val="en-US" w:eastAsia="zh-CN"/>
        </w:rPr>
        <w:t xml:space="preserve"> </w:t>
      </w:r>
    </w:p>
    <w:p w14:paraId="41734C9C">
      <w:pPr>
        <w:spacing w:after="120" w:line="360" w:lineRule="auto"/>
        <w:ind w:firstLine="480"/>
        <w:rPr>
          <w:rFonts w:ascii="微软雅黑" w:hAnsi="微软雅黑" w:eastAsia="微软雅黑" w:cs="微软雅黑"/>
          <w:color w:val="2C2C2C"/>
          <w:sz w:val="24"/>
          <w:szCs w:val="24"/>
          <w:lang w:val="en-US" w:eastAsia="zh-CN"/>
        </w:rPr>
      </w:pPr>
      <w:r>
        <w:rPr>
          <w:rFonts w:ascii="微软雅黑" w:hAnsi="微软雅黑" w:eastAsia="微软雅黑" w:cs="微软雅黑"/>
          <w:color w:val="2C2C2C"/>
          <w:sz w:val="24"/>
          <w:szCs w:val="24"/>
          <w:lang w:val="en-US" w:eastAsia="zh-CN"/>
        </w:rPr>
        <w:t>原告揭阳某银行诉称：揭阳某银行与被告陈某、高某、某房地产公</w:t>
      </w:r>
      <w:r>
        <w:rPr>
          <w:rFonts w:hint="eastAsia" w:ascii="微软雅黑" w:hAnsi="微软雅黑" w:eastAsia="微软雅黑" w:cs="微软雅黑"/>
          <w:color w:val="2C2C2C"/>
          <w:sz w:val="24"/>
          <w:szCs w:val="24"/>
          <w:lang w:val="en-US" w:eastAsia="zh-CN"/>
        </w:rPr>
        <w:t xml:space="preserve">司签订《个人住房（商业用房）借款合同》，约定：陈某、高某向揭阳某银行贷款440000元，并以该个人住房提供抵押担保；某房地产公司为该债务提供连带责任保证。合同签订后，双方办理了预售商品房抵押权预告登记，揭阳某银行依约发放贷款，但陈某、高某未依约履行还款义务。故请求判令：一、陈某、高某立即清偿尚欠揭阳某银行的贷款本金418793.27元及暂计至2021年10月14日利息、罚息共25164.93元；二、陈某、高某立即付还揭阳某银行支付的律师费16605元；三、某房地产公司对上述第1、2项债务承担连带清偿责任；四、揭阳某银行对陈某、高某名下的案涉房屋享有优先受偿权；五、本案的诉讼费用全部由三被告承担。 </w:t>
      </w:r>
    </w:p>
    <w:p w14:paraId="50CFACA2">
      <w:pPr>
        <w:spacing w:after="120" w:line="360" w:lineRule="auto"/>
        <w:ind w:firstLine="480"/>
        <w:rPr>
          <w:rFonts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一审期间，三被告均未应诉。 </w:t>
      </w:r>
    </w:p>
    <w:p w14:paraId="4FC60A6F">
      <w:pPr>
        <w:spacing w:after="120" w:line="360" w:lineRule="auto"/>
        <w:ind w:firstLine="480"/>
        <w:rPr>
          <w:rFonts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经审理查明：2018年12月21日，原告揭阳某银行与被告陈某、高某、某房地产公司签订《个人住房（商业用房）借款合同》，约定：陈某、高某向揭阳某银行贷款440000元，借款期限为2018年12月21日起至2038年12月21日，贷款利率为基准利率水平上上浮30%，逾期罚息利率为贷款利率上浮50%，并以案涉房屋提供抵押担保；某房地产公司为该债务提供连带责任保证，保证期间为该合同保证条款生效之日起至抵押登记已办妥且抵押财产的他项权利证书等交由贷款人核对无误、收执之日止。合同签订后，双方办理了预售商品房抵押权预告登记，揭阳某银行依约发放贷款，但陈某、高某未依约履行还款义务。截至2021年10月14日，陈某、高某已偿还借款本金21206.73元、利息50252.73元，尚欠揭阳某银行借款本金418793.27元、利息、罚息25164.93元。陈某与高某于2012年2月登记结婚，2021年1月离婚，双方约定案涉房屋归陈某所有，案涉房屋所涉贷款尚欠借款本息由陈某负责清偿。因陈某与高某的违约行为，揭阳某银行委托广东某律所进行诉讼，并支出了16605元律师费。 </w:t>
      </w:r>
    </w:p>
    <w:p w14:paraId="28767E9F">
      <w:pPr>
        <w:spacing w:after="120" w:line="360" w:lineRule="auto"/>
        <w:ind w:firstLine="480"/>
        <w:rPr>
          <w:rFonts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再审另查明，案涉房屋已于2019年10月17日由某房地产公司办理了建筑物所有权首次登记，并于2020年7月20日办理了不动产权证书（权利人为陈某、高某）。某房地产公司已经于2020年7月28日将该不动产权证原件交给了揭阳某银行。本案原审期间，陈某、高某、某房地产公司均没有提出答辩和举证，经原审法院传票传唤，均没有到庭参加诉讼。 </w:t>
      </w:r>
    </w:p>
    <w:p w14:paraId="7C21D022">
      <w:pPr>
        <w:spacing w:after="120" w:line="360" w:lineRule="auto"/>
        <w:ind w:firstLine="480"/>
        <w:rPr>
          <w:rFonts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广东省揭阳市榕城区人民法院于2022年8月24日作出（2022）粤5202民初1925号民事判决：一、陈某、高某应于判决发生法律效力之日起十五日内共同偿还揭阳某银行借款本金418793.27元及利息、罚息（截至2021年10月14日，利息、罚息为25164.93元，自2021年10月15日起至还清之日止的利息、罚息，按《个人住房（商业用房）借款合同》约定计）；二、陈某、高某应于判决发生法律效力之日起十五日内共同付还揭阳某银行应付的律师费16605元；三、某房地产公司对上述一、二项确定的债务承担连带清偿责任，某房地产公司承担保证责任后，有权向陈某、高某追偿；四、驳回揭阳某银行的其他诉讼请求。该判决作出后，各方当事人均没有提起上诉，原审判决已生效并执行完毕。后某房地产公司以原审法院认定涉案房产没有办理建筑物所有权首次登记系事实认定错误，某房地产公司对涉案债务承担保证后有追偿权并享有优先权，揭阳某银行起诉时已超过保证期限，某房地产公司依法不再承担连带保证责任等为由向广东省揭阳市中级人民法院申请再审。广东省揭阳市中级人民法院于2023年5月22日作出（2023）粤52民申8号民事裁定，提审本案。广东省揭阳市中级人民法院于2023年10月27日作出（2023）粤52民再6号民事判决：一、维持广东省揭阳市榕城区人民法院（2022）粤5202民初1925号民事判决第一、二项；二、撤销广东省揭阳市榕城区人民法院（2022）粤5202民初1925号民事判决第三、四项；三、驳回揭阳某银行的其他诉讼请求；四、驳回某房地产公司的其他再审请求。 </w:t>
      </w:r>
    </w:p>
    <w:p w14:paraId="36AE2359">
      <w:pPr>
        <w:spacing w:after="120" w:line="360" w:lineRule="auto"/>
        <w:ind w:firstLine="480"/>
        <w:rPr>
          <w:rFonts w:ascii="微软雅黑" w:hAnsi="微软雅黑" w:eastAsia="微软雅黑" w:cs="微软雅黑"/>
          <w:b/>
          <w:bCs/>
          <w:color w:val="2C2C2C"/>
          <w:sz w:val="24"/>
          <w:szCs w:val="24"/>
          <w:lang w:val="en-US" w:eastAsia="zh-CN"/>
        </w:rPr>
      </w:pPr>
      <w:r>
        <w:rPr>
          <w:rFonts w:hint="default" w:ascii="微软雅黑" w:hAnsi="微软雅黑" w:eastAsia="微软雅黑" w:cs="微软雅黑"/>
          <w:b/>
          <w:bCs/>
          <w:color w:val="2C2C2C"/>
          <w:sz w:val="24"/>
          <w:szCs w:val="24"/>
          <w:lang w:val="en-US" w:eastAsia="zh-CN"/>
        </w:rPr>
        <w:t xml:space="preserve">裁判理由 </w:t>
      </w:r>
    </w:p>
    <w:p w14:paraId="075D6679">
      <w:pPr>
        <w:spacing w:after="120" w:line="360" w:lineRule="auto"/>
        <w:ind w:firstLine="480"/>
        <w:rPr>
          <w:rFonts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法院生效裁判认为，本案主要的争议焦点有两个。包括：一是关于揭阳某银行对案涉房产是否享有优先受偿权的问题；二是关于某房地产公司的保证人责任问题。 </w:t>
      </w:r>
    </w:p>
    <w:p w14:paraId="02F3056A">
      <w:pPr>
        <w:spacing w:after="120" w:line="360" w:lineRule="auto"/>
        <w:ind w:firstLine="480"/>
        <w:rPr>
          <w:rFonts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一、关于揭阳某银行对案涉房产是否享有优先受偿权的问题。陈某、高某以案涉房屋为借款合同项下借款向揭阳某银行提供抵押担保，并办理了抵押权预告登记。本案再审期间，某房地产公司举证证明案涉房产已于2019年10月17日办理建筑物所有权首次登记，案涉房产也于2020年7月20日办理了不动产权证书（权利人为陈某、高某），某房地产公司已经于2020年7月28日将该不动产权证原件交给了揭阳某银行，案涉房产已能够进行抵押登记，按照《最高人民法院关于适用〈中华人民共和国民法典〉时间效力的若干规定》第一条第二款 “民法典施行前的法律事实引起的民事纠纷案件，适用当时的法律、司法解释的规定，但是法律、司法解释另有规定的除外”的规定，根据当时施行的《中华人民共和国物权法》第二十条“当事人签订买卖房屋或者其他不动产物权的协议，为保障将来实现物权，按照约定可以向登记机构申请预告登记。预告登记后，未经预告登记的权利人同意，处分该不动产的，不发生物权效力。预告登记后，债权消灭或者自能够进行不动产登记之日起三个月内未申请登记的，预告登记失效”的规定，揭阳某银行作为约定的抵押权人应该在收到案涉不动产权证原件后三个月内申请办理抵押登记手续，并有权要求约定的抵押人陈某、高某配合，但案涉房产没有在三个月内申请办理抵押登记，案涉房产办理的预售商品房抵押权预告登记已失效，导致不具备办理抵押登记条件，因此，某房地产公司再审请求改判揭阳某银行对案涉房屋享有优先受偿权，理由不成立，不予支持。 </w:t>
      </w:r>
    </w:p>
    <w:p w14:paraId="4D498963">
      <w:pPr>
        <w:spacing w:after="120" w:line="360" w:lineRule="auto"/>
        <w:ind w:firstLine="480"/>
        <w:rPr>
          <w:rFonts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二、关于某房地产公司的保证人责任问题。本案中，某房地产公司为案涉合同项下的债务向揭阳某银行提供连带责任保证，虽然案涉合同约定，保证期间为本合同保证条款生效之日起至抵押登记已办妥且抵押财产的他项权利证书、抵押登记证明文件正本及其他权利证书交由贷款人核对无误、收执之日止。但2018年12月28日案涉房产已办理了预售商品房抵押权预告登记，某房地产公司对案涉房产于2019年10月17日办理建筑物所有权首次登记，也于2020年7月20日办理了不动产权证书（权利人为陈某、高某），并已于2020年7月28日将该不动产权证原件交给了揭阳某银行，已履行了其义务。办理抵押登记手续是抵押权人揭阳某银行和抵押人陈某、高某应当完成的义务，揭阳某银行没有在预告登记有效期内申请办理，怠于行使其权利，造成预告登记失效，应承担相应的法律后果。因此，某房地产公司的保证期间应截至案涉房产抵押权预告登记有效期，预告登记失效后，不再承担保证责任。某房地产公司主张揭阳某银行起诉时，已经超过保证期限，其依法不再承担连带保证责任，该主张理由成立，应予支持。因某房地产公司在本案原审时没有答辩及举证，揭阳某银行也没有尽到举证责任，导致本案再审，故均应负担本案部分再审受理费。 </w:t>
      </w:r>
    </w:p>
    <w:p w14:paraId="17F92C01">
      <w:pPr>
        <w:spacing w:after="120" w:line="360" w:lineRule="auto"/>
        <w:ind w:firstLine="480"/>
        <w:rPr>
          <w:rFonts w:ascii="微软雅黑" w:hAnsi="微软雅黑" w:eastAsia="微软雅黑" w:cs="微软雅黑"/>
          <w:b/>
          <w:bCs/>
          <w:color w:val="2C2C2C"/>
          <w:sz w:val="24"/>
          <w:szCs w:val="24"/>
          <w:lang w:val="en-US" w:eastAsia="zh-CN"/>
        </w:rPr>
      </w:pPr>
      <w:r>
        <w:rPr>
          <w:rFonts w:hint="default" w:ascii="微软雅黑" w:hAnsi="微软雅黑" w:eastAsia="微软雅黑" w:cs="微软雅黑"/>
          <w:b/>
          <w:bCs/>
          <w:color w:val="2C2C2C"/>
          <w:sz w:val="24"/>
          <w:szCs w:val="24"/>
          <w:lang w:val="en-US" w:eastAsia="zh-CN"/>
        </w:rPr>
        <w:t xml:space="preserve">关联索引 </w:t>
      </w:r>
    </w:p>
    <w:p w14:paraId="175CE1B3">
      <w:pPr>
        <w:spacing w:after="120" w:line="360" w:lineRule="auto"/>
        <w:ind w:firstLine="480"/>
        <w:rPr>
          <w:rFonts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《中华人民共和国民法典》第401条（本案适用的是2007年10月1日施行的《中华人民共和国物权法》第20条） </w:t>
      </w:r>
    </w:p>
    <w:p w14:paraId="70AA011A">
      <w:pPr>
        <w:spacing w:after="120" w:line="360" w:lineRule="auto"/>
        <w:ind w:firstLine="480"/>
        <w:rPr>
          <w:rFonts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《最高人民法院关于适用〈中华人民共和国民法典〉时间效力的若干规定》第1条 </w:t>
      </w:r>
    </w:p>
    <w:p w14:paraId="0C2D779A">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一审：广东省揭阳市榕城区人民法院（2022）粤5202民初1925号民事判决（2022年8月24日） </w:t>
      </w:r>
    </w:p>
    <w:p w14:paraId="082BDA17">
      <w:pPr>
        <w:spacing w:after="120" w:line="360" w:lineRule="auto"/>
        <w:ind w:firstLine="480"/>
        <w:rPr>
          <w:rFonts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再审：广东省揭阳市中级人民法院（2023）粤52民申8号民事裁定（2023年5月22日） </w:t>
      </w:r>
    </w:p>
    <w:p w14:paraId="75221D91">
      <w:pPr>
        <w:spacing w:after="120" w:line="360" w:lineRule="auto"/>
        <w:ind w:firstLine="480"/>
        <w:rPr>
          <w:rFonts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再审：广东省揭阳市中级人民法院（2023）粤52民再6号民事判决（2023年10月27日） </w:t>
      </w:r>
    </w:p>
    <w:p w14:paraId="120DD37D">
      <w:pPr>
        <w:spacing w:after="120" w:line="360" w:lineRule="auto"/>
        <w:ind w:firstLine="480"/>
        <w:rPr>
          <w:rFonts w:hint="eastAsia" w:ascii="微软雅黑" w:hAnsi="微软雅黑" w:eastAsia="微软雅黑" w:cs="微软雅黑"/>
          <w:b/>
          <w:bCs/>
          <w:color w:val="2C2C2C"/>
          <w:sz w:val="24"/>
          <w:szCs w:val="24"/>
          <w:lang w:val="en-US" w:eastAsia="zh-CN"/>
        </w:rPr>
      </w:pPr>
      <w:r>
        <w:rPr>
          <w:rFonts w:hint="eastAsia" w:ascii="微软雅黑" w:hAnsi="微软雅黑" w:eastAsia="微软雅黑" w:cs="微软雅黑"/>
          <w:b w:val="0"/>
          <w:bCs w:val="0"/>
          <w:color w:val="2C2C2C"/>
          <w:sz w:val="24"/>
          <w:szCs w:val="24"/>
          <w:lang w:val="en-US" w:eastAsia="zh-CN"/>
        </w:rPr>
        <w:t>本案例文本已于2024年3月8日作出调整</w:t>
      </w:r>
    </w:p>
    <w:p w14:paraId="76AE0D14">
      <w:pPr>
        <w:spacing w:after="120" w:line="360" w:lineRule="auto"/>
        <w:ind w:firstLine="480"/>
        <w:rPr>
          <w:rFonts w:hint="eastAsia" w:ascii="微软雅黑" w:hAnsi="微软雅黑" w:eastAsia="微软雅黑" w:cs="微软雅黑"/>
          <w:b/>
          <w:bCs/>
          <w:color w:val="2C2C2C"/>
          <w:sz w:val="24"/>
          <w:szCs w:val="24"/>
          <w:lang w:val="en-US" w:eastAsia="zh-CN"/>
        </w:rPr>
      </w:pPr>
    </w:p>
    <w:p w14:paraId="2518996E">
      <w:pPr>
        <w:spacing w:after="120" w:line="360" w:lineRule="auto"/>
        <w:jc w:val="center"/>
        <w:rPr>
          <w:rFonts w:ascii="微软雅黑" w:hAnsi="微软雅黑" w:eastAsia="微软雅黑" w:cs="微软雅黑"/>
          <w:b/>
          <w:bCs/>
          <w:color w:val="2C2C2C"/>
          <w:sz w:val="24"/>
          <w:szCs w:val="24"/>
        </w:rPr>
      </w:pPr>
      <w:r>
        <w:rPr>
          <w:rFonts w:hint="eastAsia" w:cs="微软雅黑"/>
          <w:b/>
          <w:bCs/>
          <w:color w:val="2C2C2C"/>
          <w:sz w:val="24"/>
          <w:szCs w:val="24"/>
          <w:lang w:val="en-US" w:eastAsia="zh-CN"/>
        </w:rPr>
        <w:t>7</w:t>
      </w:r>
      <w:r>
        <w:rPr>
          <w:rFonts w:hint="eastAsia" w:cs="微软雅黑"/>
          <w:b/>
          <w:bCs/>
          <w:color w:val="2C2C2C"/>
          <w:sz w:val="24"/>
          <w:szCs w:val="24"/>
          <w:lang w:eastAsia="zh-CN"/>
        </w:rPr>
        <w:t>.</w:t>
      </w:r>
      <w:r>
        <w:rPr>
          <w:rFonts w:ascii="微软雅黑" w:hAnsi="微软雅黑" w:eastAsia="微软雅黑" w:cs="微软雅黑"/>
          <w:b/>
          <w:bCs/>
          <w:color w:val="2C2C2C"/>
          <w:sz w:val="24"/>
          <w:szCs w:val="24"/>
        </w:rPr>
        <w:t xml:space="preserve"> </w:t>
      </w:r>
      <w:r>
        <w:rPr>
          <w:rFonts w:ascii="微软雅黑" w:hAnsi="微软雅黑" w:eastAsia="微软雅黑" w:cs="微软雅黑"/>
          <w:b/>
          <w:bCs/>
          <w:color w:val="2C2C2C"/>
          <w:sz w:val="24"/>
          <w:szCs w:val="24"/>
          <w:lang w:val="en-US" w:eastAsia="zh-CN"/>
        </w:rPr>
        <w:t xml:space="preserve">某信托公司诉某建筑公司等金融借款合同纠纷案 </w:t>
      </w:r>
    </w:p>
    <w:p w14:paraId="7061FF21">
      <w:pPr>
        <w:spacing w:after="120" w:line="360" w:lineRule="auto"/>
        <w:jc w:val="center"/>
        <w:rPr>
          <w:rFonts w:ascii="微软雅黑" w:hAnsi="微软雅黑" w:eastAsia="微软雅黑" w:cs="微软雅黑"/>
          <w:b/>
          <w:bCs/>
          <w:color w:val="2C2C2C"/>
          <w:sz w:val="24"/>
          <w:szCs w:val="24"/>
        </w:rPr>
      </w:pPr>
      <w:r>
        <w:rPr>
          <w:rFonts w:ascii="微软雅黑" w:hAnsi="微软雅黑" w:eastAsia="微软雅黑" w:cs="微软雅黑"/>
          <w:b/>
          <w:bCs/>
          <w:color w:val="2C2C2C"/>
          <w:sz w:val="24"/>
          <w:szCs w:val="24"/>
          <w:lang w:val="en-US" w:eastAsia="zh-CN"/>
        </w:rPr>
        <w:t>——公司为他人提供担保时，法院需依职权主动审查是否构成越权担保</w:t>
      </w:r>
    </w:p>
    <w:p w14:paraId="598B8C77">
      <w:pPr>
        <w:spacing w:after="120" w:line="360" w:lineRule="auto"/>
        <w:jc w:val="right"/>
        <w:rPr>
          <w:sz w:val="24"/>
          <w:szCs w:val="24"/>
        </w:rPr>
      </w:pPr>
      <w:r>
        <w:rPr>
          <w:rFonts w:hint="eastAsia" w:ascii="微软雅黑" w:hAnsi="微软雅黑" w:eastAsia="微软雅黑" w:cs="微软雅黑"/>
          <w:color w:val="2C2C2C"/>
          <w:sz w:val="24"/>
          <w:szCs w:val="24"/>
          <w:lang w:val="en-US" w:eastAsia="zh-CN"/>
        </w:rPr>
        <w:t>2023-08-2-103-012</w:t>
      </w:r>
    </w:p>
    <w:p w14:paraId="3E7D3B18">
      <w:pPr>
        <w:spacing w:after="120" w:line="360" w:lineRule="auto"/>
        <w:ind w:firstLine="480"/>
        <w:rPr>
          <w:rFonts w:ascii="微软雅黑" w:hAnsi="微软雅黑" w:eastAsia="微软雅黑" w:cs="微软雅黑"/>
          <w:b/>
          <w:bCs/>
          <w:color w:val="2C2C2C"/>
          <w:sz w:val="24"/>
          <w:szCs w:val="24"/>
        </w:rPr>
      </w:pPr>
      <w:r>
        <w:rPr>
          <w:rFonts w:hint="default" w:ascii="微软雅黑" w:hAnsi="微软雅黑" w:eastAsia="微软雅黑" w:cs="微软雅黑"/>
          <w:b/>
          <w:bCs/>
          <w:color w:val="2C2C2C"/>
          <w:sz w:val="24"/>
          <w:szCs w:val="24"/>
          <w:lang w:val="en-US" w:eastAsia="zh-CN"/>
        </w:rPr>
        <w:t xml:space="preserve">裁判要旨 </w:t>
      </w:r>
    </w:p>
    <w:p w14:paraId="423EBE62">
      <w:pPr>
        <w:spacing w:after="120" w:line="360" w:lineRule="auto"/>
        <w:ind w:firstLine="480"/>
        <w:rPr>
          <w:rFonts w:ascii="微软雅黑" w:hAnsi="微软雅黑" w:eastAsia="微软雅黑" w:cs="微软雅黑"/>
          <w:b/>
          <w:bCs/>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公司对外提供担保，债权人负有对公司章程、公司权力机关作出的担保决议等与担保相关文件的合理审查义务，否则担保合同对公司不产生效力。在担保人未对担保合同效力提出异议的场合，法院仍需要主动依职权审查债权人对公司对外担保尽到合理审查义务，主要理由为：1.无论担保人公司是否到庭参加诉讼，公司作为组织机构的属性并未变化，在诉讼中未提出异议，并不能当然视为公司整体及公司的所有股东在签署担保合同时同意公司对外提供担保，法院仍然需要主动审查公司组织机构的意思表示。2.法院主动审查担保合同签订时债权人是否尽到合理审查义务系查明案件事实的需要，因为查明案件基本事实是法院的职责，即使担保人未提出抗辩，法院也需依职权主动审查。3.法院主动审查担保合同效力有助于保护公司和中小股东权益。担保的无偿性特点决定了担保权人在获得担保债务清偿时无需支付任何对价，而公司其他债权人在获得债务清偿时系基于对待给付义务。因此，即使担保人未对担保合同效力提出异议，人民法院也应对债权人是否尽到合理审查义务进行主动审查，以平衡保护债权人和公司、公司中小股东的利益。 </w:t>
      </w:r>
    </w:p>
    <w:p w14:paraId="4307AE72">
      <w:pPr>
        <w:spacing w:after="120" w:line="360" w:lineRule="auto"/>
        <w:ind w:firstLine="480"/>
        <w:rPr>
          <w:rFonts w:ascii="微软雅黑" w:hAnsi="微软雅黑" w:eastAsia="微软雅黑" w:cs="微软雅黑"/>
          <w:b/>
          <w:bCs/>
          <w:color w:val="2C2C2C"/>
          <w:sz w:val="24"/>
          <w:szCs w:val="24"/>
        </w:rPr>
      </w:pPr>
      <w:r>
        <w:rPr>
          <w:rFonts w:ascii="微软雅黑" w:hAnsi="微软雅黑" w:eastAsia="微软雅黑" w:cs="微软雅黑"/>
          <w:b/>
          <w:bCs/>
          <w:color w:val="2C2C2C"/>
          <w:sz w:val="24"/>
          <w:szCs w:val="24"/>
          <w:lang w:val="en-US" w:eastAsia="zh-CN"/>
        </w:rPr>
        <w:t xml:space="preserve">基本案情 </w:t>
      </w:r>
    </w:p>
    <w:p w14:paraId="371D994D">
      <w:pPr>
        <w:spacing w:after="120" w:line="360" w:lineRule="auto"/>
        <w:ind w:firstLine="480"/>
        <w:rPr>
          <w:rFonts w:ascii="微软雅黑" w:hAnsi="微软雅黑" w:eastAsia="微软雅黑" w:cs="微软雅黑"/>
          <w:color w:val="2C2C2C"/>
          <w:sz w:val="24"/>
          <w:szCs w:val="24"/>
        </w:rPr>
      </w:pPr>
      <w:r>
        <w:rPr>
          <w:rFonts w:ascii="微软雅黑" w:hAnsi="微软雅黑" w:eastAsia="微软雅黑" w:cs="微软雅黑"/>
          <w:color w:val="2C2C2C"/>
          <w:sz w:val="24"/>
          <w:szCs w:val="24"/>
          <w:lang w:val="en-US" w:eastAsia="zh-CN"/>
        </w:rPr>
        <w:t>原告某信托公司诉称：2019年，某信托公司与某建筑公司签订《信</w:t>
      </w:r>
      <w:r>
        <w:rPr>
          <w:rFonts w:hint="eastAsia" w:ascii="微软雅黑" w:hAnsi="微软雅黑" w:eastAsia="微软雅黑" w:cs="微软雅黑"/>
          <w:color w:val="2C2C2C"/>
          <w:sz w:val="24"/>
          <w:szCs w:val="24"/>
          <w:lang w:val="en-US" w:eastAsia="zh-CN"/>
        </w:rPr>
        <w:t xml:space="preserve">托贷款合同》及其补充协议。2019年8月30日，某信托公司分别与某住宅公司、辛某、吴某签订《保证合同》。2020年10月26日，某信托公司与某房地产公司签订《抵押合同》。2019年，某信托公司与某建筑公司签订《应收账款质押合同》。某信托公司与某实业公司签署《股权质押合同》。某信托公司与某住宅公司、某管理公司签订《抵押合同》。某信托公司已依约向某建筑公司发放三期贷款。2020年12月21日，某建筑公司无法按照合同约定支付利息，并经某信托公司多次催要仍未及时履行。2021年1月22日，某信托公司向某建筑公司发送《提前还款通知书》，宣布贷款提前到期，并要求立即偿还某信托公司全部债权，但某建筑公司仍未支付任何款项，故某信托公司起诉至法院。 </w:t>
      </w:r>
    </w:p>
    <w:p w14:paraId="46D0066C">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被告某建筑公司辩称：第一，某信托公司与某建筑公司签订的《信托贷款合同》是格式合同，其中约定复利条款严重损害某建筑公司利益，且在签署时某信托公司未履行其应有的提示义务，因此该约定无效，某信托公司不得主张复利。对逾期归还的本金计收罚息具有惩罚性质，对欠付的利息及罚息计收复利，则属于重复计算利息，违反公平原则。第二，《抵押合同》中列举的39套商铺的不动产抵押登记手续尚未办理，相关抵押权未设立，某信托公司对前述财产不享有优先受偿权。 </w:t>
      </w:r>
    </w:p>
    <w:p w14:paraId="37469060">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某住宅公司、辛某、吴某、某房地产公司、某管理公司均未到庭参加诉讼，亦未提交书面答辩意见。 </w:t>
      </w:r>
    </w:p>
    <w:p w14:paraId="644EFA47">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法院经审理查明：2019年，某信托公司与某建筑公司签订《信托贷款合同》与《信托贷款合同之补充协议》，约定贷款人按本合同约定向借款人发放的贷款总金额为不超过2000万元。根据借款凭证记载，某信托公司先后发放三笔贷款。 </w:t>
      </w:r>
    </w:p>
    <w:p w14:paraId="779660C0">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2020年10月26日，某信托公司与某房地产公司签订《抵押合同》，约定为主合同项下债务人的全部债务提供抵押担保，已办理抵押登记，抵押物为160个车位。本案审理过程中，某房地产公司签收开庭传票，但未对抵押担保效力提出异议，经询，某信托公司未能提交某房地产公司同意提供抵押担保的公司内部决议文件。某信托公司提交中国某某银行支付业务回单，主张某建筑公司仅于2020年9月17日通过案外人向某信托公司支付第一期贷款本金和利息，自2020年12月21日起未再偿还第二笔、第三笔贷款利息及本金。另，某住宅公司、辛某、吴某分别与某信托公司签订《保证合同》，某信托公司与某建筑公司签订《应收账款质押合同》，某信托公司与某住宅公司、某管理公司签署《抵押合同》，为案涉债权提供担保。 </w:t>
      </w:r>
    </w:p>
    <w:p w14:paraId="24383027">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北京市西城区人民法院于2021年10月18日作出（2021）京0102民初 7664号民事判决：1.某建筑公司于本判决生效之日起十日内向某信托公司偿还借款本金1321万元，截至2021年1月27日的利息483805.56元、罚息67884.72元、复利5365元，以及自2021年1月28日起至实际清偿之日止的罚息、复利（按照《信托贷款合同》约定的标准计算，且利息、罚、复利合计不超过年利率24%）；2.辛某、吴某、某住宅公司、某管理公司对本判决第一项确定的某某公司的给付义务向某信托公司承担连带清偿责任，辛某、吴某、某住宅公司、某管理公司清偿完毕后，有权向某建筑公司追偿；3.某房地产公司在某建筑公司就判决第一项所确定的债务不能清偿部分的二分之一范围内承担民事责任；4.某实业公司于本判决生效后十日内配合某信托公司对某实业公司持有的某投资公司100%股权为某信托公司办理股权质押登记手续；5.驳回某信托公司的其他诉讼请求。宣判后，当事人未提出上诉，判决已发生法律效力。 </w:t>
      </w:r>
    </w:p>
    <w:p w14:paraId="74E8BE69">
      <w:pPr>
        <w:spacing w:after="120" w:line="360" w:lineRule="auto"/>
        <w:ind w:firstLine="480"/>
        <w:rPr>
          <w:rFonts w:ascii="微软雅黑" w:hAnsi="微软雅黑" w:eastAsia="微软雅黑" w:cs="微软雅黑"/>
          <w:b/>
          <w:bCs/>
          <w:color w:val="2C2C2C"/>
          <w:sz w:val="24"/>
          <w:szCs w:val="24"/>
        </w:rPr>
      </w:pPr>
      <w:r>
        <w:rPr>
          <w:rFonts w:hint="default" w:ascii="微软雅黑" w:hAnsi="微软雅黑" w:eastAsia="微软雅黑" w:cs="微软雅黑"/>
          <w:b/>
          <w:bCs/>
          <w:color w:val="2C2C2C"/>
          <w:sz w:val="24"/>
          <w:szCs w:val="24"/>
          <w:lang w:val="en-US" w:eastAsia="zh-CN"/>
        </w:rPr>
        <w:t xml:space="preserve">裁判理由 </w:t>
      </w:r>
    </w:p>
    <w:p w14:paraId="57F0F4F9">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法院生效裁判认为：某房地产公司作为抵押人，与某信托公司签署《抵押合同》，以其所有的160个车位为案涉债权提供抵押担保并办理了抵押登记。根据《中华人民共和国公司法》第十六条的规定，公司担保行为必须以公司股东（大）会或者董事会等公司机关的决议作为授权的基础和来源。本案中某信托公司未能提交某房地产公司股东会、董事会等权力机关的决议文件，亦未能举证证明其就相关决议事项尽到了合理审查义务，且根据现有证据不足以认定本案中存在无须公司机关决议的例外情形。因此，在现有证据无法证明某信托公司构成善意的情况下，案涉《抵押合同》对某房地产公司不发生效力，该公司不承担基于有效担保产生的担保责任。需要说明的是，虽然本案中某房地产公司经法院依法传唤未到庭参加诉讼，亦未对抵押合同的效力提出异议，但《抵押合同》的效力及某信托公司是否尽到合理审查义务，为案件的基本事实，法院需主动审查查明。据此，对某信托公司要求对《抵押合同》中抵押物清单中的160套车位的折价或拍卖、变卖所得价款享有优先受偿权的主张，法院不予支持，并根据《最高人民法院关于适用〈中华人民共和国担保法〉若干问题的解释》第七条之规定，确定某房地产公司承担的民事责任为债务人某建筑公司不能清偿部分的二分之一。 </w:t>
      </w:r>
    </w:p>
    <w:p w14:paraId="3E51C640">
      <w:pPr>
        <w:spacing w:after="120" w:line="360" w:lineRule="auto"/>
        <w:ind w:firstLine="480"/>
        <w:rPr>
          <w:rFonts w:ascii="微软雅黑" w:hAnsi="微软雅黑" w:eastAsia="微软雅黑" w:cs="微软雅黑"/>
          <w:b/>
          <w:bCs/>
          <w:color w:val="2C2C2C"/>
          <w:sz w:val="24"/>
          <w:szCs w:val="24"/>
        </w:rPr>
      </w:pPr>
      <w:r>
        <w:rPr>
          <w:rFonts w:hint="default" w:ascii="微软雅黑" w:hAnsi="微软雅黑" w:eastAsia="微软雅黑" w:cs="微软雅黑"/>
          <w:b/>
          <w:bCs/>
          <w:color w:val="2C2C2C"/>
          <w:sz w:val="24"/>
          <w:szCs w:val="24"/>
          <w:lang w:val="en-US" w:eastAsia="zh-CN"/>
        </w:rPr>
        <w:t xml:space="preserve">关联索引 </w:t>
      </w:r>
    </w:p>
    <w:p w14:paraId="3AB63550">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《中华人民共和国公司法》第16条 </w:t>
      </w:r>
    </w:p>
    <w:p w14:paraId="1FBF2FF3">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《中华人民共和国民法典》第392条、第688条（本案适用的是1995年6月30日施行的《中华人民共和国担保法》第31条、第18条） </w:t>
      </w:r>
    </w:p>
    <w:p w14:paraId="6EAD12B8">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最高人民法院关于适用〈中华人民共和国民法典〉有关担保制度的解释》（法释〔2020〕28号）第17条[本案适用的是2000年12月8日实施的《最高人民法院关于适用〈中华人民共和国担保法〉若干问题的解释》（法释〔2000〕44号）第7条] </w:t>
      </w:r>
    </w:p>
    <w:p w14:paraId="681AFBBD">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一审：北京市西城区人民法院（2021）京0102民初7664号民事判决（2021年10月18日） </w:t>
      </w:r>
    </w:p>
    <w:p w14:paraId="1D65D8AF">
      <w:pPr>
        <w:spacing w:after="120" w:line="360" w:lineRule="auto"/>
        <w:jc w:val="center"/>
        <w:rPr>
          <w:rFonts w:hint="eastAsia" w:cs="微软雅黑"/>
          <w:b/>
          <w:bCs/>
          <w:color w:val="2C2C2C"/>
          <w:sz w:val="24"/>
          <w:szCs w:val="24"/>
          <w:lang w:val="en-US" w:eastAsia="zh-CN"/>
        </w:rPr>
      </w:pPr>
    </w:p>
    <w:p w14:paraId="31109BE5">
      <w:pPr>
        <w:spacing w:after="120" w:line="360" w:lineRule="auto"/>
        <w:jc w:val="center"/>
        <w:rPr>
          <w:rFonts w:ascii="微软雅黑" w:hAnsi="微软雅黑" w:eastAsia="微软雅黑" w:cs="微软雅黑"/>
          <w:b/>
          <w:bCs/>
          <w:color w:val="2C2C2C"/>
          <w:sz w:val="24"/>
          <w:szCs w:val="24"/>
        </w:rPr>
      </w:pPr>
      <w:r>
        <w:rPr>
          <w:rFonts w:hint="eastAsia" w:cs="微软雅黑"/>
          <w:b/>
          <w:bCs/>
          <w:color w:val="2C2C2C"/>
          <w:sz w:val="24"/>
          <w:szCs w:val="24"/>
          <w:lang w:val="en-US" w:eastAsia="zh-CN"/>
        </w:rPr>
        <w:t>8</w:t>
      </w:r>
      <w:r>
        <w:rPr>
          <w:rFonts w:hint="eastAsia" w:cs="微软雅黑"/>
          <w:b/>
          <w:bCs/>
          <w:color w:val="2C2C2C"/>
          <w:sz w:val="24"/>
          <w:szCs w:val="24"/>
          <w:lang w:eastAsia="zh-CN"/>
        </w:rPr>
        <w:t>.</w:t>
      </w:r>
      <w:r>
        <w:rPr>
          <w:rFonts w:ascii="微软雅黑" w:hAnsi="微软雅黑" w:eastAsia="微软雅黑" w:cs="微软雅黑"/>
          <w:b/>
          <w:bCs/>
          <w:color w:val="2C2C2C"/>
          <w:sz w:val="24"/>
          <w:szCs w:val="24"/>
        </w:rPr>
        <w:t xml:space="preserve"> </w:t>
      </w:r>
      <w:r>
        <w:rPr>
          <w:rFonts w:ascii="微软雅黑" w:hAnsi="微软雅黑" w:eastAsia="微软雅黑" w:cs="微软雅黑"/>
          <w:b/>
          <w:bCs/>
          <w:color w:val="2C2C2C"/>
          <w:sz w:val="24"/>
          <w:szCs w:val="24"/>
          <w:lang w:val="en-US" w:eastAsia="zh-CN"/>
        </w:rPr>
        <w:t xml:space="preserve">某银行诉某投资公司、景某某等金融借款合同纠纷案 </w:t>
      </w:r>
    </w:p>
    <w:p w14:paraId="71091CE9">
      <w:pPr>
        <w:spacing w:after="120" w:line="360" w:lineRule="auto"/>
        <w:jc w:val="center"/>
        <w:rPr>
          <w:rFonts w:ascii="微软雅黑" w:hAnsi="微软雅黑" w:eastAsia="微软雅黑" w:cs="微软雅黑"/>
          <w:b/>
          <w:bCs/>
          <w:color w:val="2C2C2C"/>
          <w:sz w:val="24"/>
          <w:szCs w:val="24"/>
        </w:rPr>
      </w:pPr>
      <w:r>
        <w:rPr>
          <w:rFonts w:ascii="微软雅黑" w:hAnsi="微软雅黑" w:eastAsia="微软雅黑" w:cs="微软雅黑"/>
          <w:b/>
          <w:bCs/>
          <w:color w:val="2C2C2C"/>
          <w:sz w:val="24"/>
          <w:szCs w:val="24"/>
          <w:lang w:val="en-US" w:eastAsia="zh-CN"/>
        </w:rPr>
        <w:t>——金融借款合同约定的利息、罚息、复利、违约金等超过年利率</w:t>
      </w:r>
      <w:r>
        <w:rPr>
          <w:rFonts w:hint="eastAsia" w:ascii="微软雅黑" w:hAnsi="微软雅黑" w:eastAsia="微软雅黑" w:cs="微软雅黑"/>
          <w:b/>
          <w:bCs/>
          <w:color w:val="2C2C2C"/>
          <w:sz w:val="24"/>
          <w:szCs w:val="24"/>
          <w:lang w:val="en-US" w:eastAsia="zh-CN"/>
        </w:rPr>
        <w:t>24%的，如何处理</w:t>
      </w:r>
    </w:p>
    <w:p w14:paraId="06BC20B7">
      <w:pPr>
        <w:spacing w:after="120" w:line="360" w:lineRule="auto"/>
        <w:jc w:val="right"/>
        <w:rPr>
          <w:sz w:val="24"/>
          <w:szCs w:val="24"/>
        </w:rPr>
      </w:pPr>
      <w:r>
        <w:rPr>
          <w:sz w:val="24"/>
          <w:szCs w:val="24"/>
          <w:lang w:val="en-US" w:eastAsia="zh-CN"/>
        </w:rPr>
        <w:t>2023-08-2-103-011</w:t>
      </w:r>
    </w:p>
    <w:p w14:paraId="67D04D09">
      <w:pPr>
        <w:spacing w:after="120" w:line="360" w:lineRule="auto"/>
        <w:ind w:firstLine="480"/>
        <w:rPr>
          <w:rFonts w:ascii="微软雅黑" w:hAnsi="微软雅黑" w:eastAsia="微软雅黑" w:cs="微软雅黑"/>
          <w:b/>
          <w:bCs/>
          <w:color w:val="2C2C2C"/>
          <w:sz w:val="24"/>
          <w:szCs w:val="24"/>
        </w:rPr>
      </w:pPr>
      <w:r>
        <w:rPr>
          <w:rFonts w:hint="default" w:ascii="微软雅黑" w:hAnsi="微软雅黑" w:eastAsia="微软雅黑" w:cs="微软雅黑"/>
          <w:b/>
          <w:bCs/>
          <w:color w:val="2C2C2C"/>
          <w:sz w:val="24"/>
          <w:szCs w:val="24"/>
          <w:lang w:val="en-US" w:eastAsia="zh-CN"/>
        </w:rPr>
        <w:t xml:space="preserve">裁判要旨 </w:t>
      </w:r>
    </w:p>
    <w:p w14:paraId="5199CDF7">
      <w:pPr>
        <w:spacing w:after="120" w:line="360" w:lineRule="auto"/>
        <w:ind w:firstLine="480"/>
        <w:rPr>
          <w:rFonts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现阶段，金融借款合同约定的利息、罚息、复利、违约金如无法定无效情形，应予支持，但约定的利息、复利、罚息、违约金过高，显著背离实际损失的，应当对总计超过年利率24%的部分不予支持。 </w:t>
      </w:r>
    </w:p>
    <w:p w14:paraId="1F8E14AD">
      <w:pPr>
        <w:spacing w:after="120" w:line="360" w:lineRule="auto"/>
        <w:ind w:firstLine="480"/>
        <w:rPr>
          <w:rFonts w:ascii="微软雅黑" w:hAnsi="微软雅黑" w:eastAsia="微软雅黑" w:cs="微软雅黑"/>
          <w:b/>
          <w:bCs/>
          <w:color w:val="2C2C2C"/>
          <w:sz w:val="24"/>
          <w:szCs w:val="24"/>
        </w:rPr>
      </w:pPr>
      <w:r>
        <w:rPr>
          <w:rFonts w:ascii="微软雅黑" w:hAnsi="微软雅黑" w:eastAsia="微软雅黑" w:cs="微软雅黑"/>
          <w:b/>
          <w:bCs/>
          <w:color w:val="2C2C2C"/>
          <w:sz w:val="24"/>
          <w:szCs w:val="24"/>
          <w:lang w:val="en-US" w:eastAsia="zh-CN"/>
        </w:rPr>
        <w:t xml:space="preserve">基本案情 </w:t>
      </w:r>
    </w:p>
    <w:p w14:paraId="4EDE531F">
      <w:pPr>
        <w:spacing w:after="120" w:line="360" w:lineRule="auto"/>
        <w:ind w:firstLine="480"/>
        <w:rPr>
          <w:rFonts w:hint="eastAsia" w:ascii="微软雅黑" w:hAnsi="微软雅黑" w:eastAsia="微软雅黑" w:cs="微软雅黑"/>
          <w:color w:val="2C2C2C"/>
          <w:sz w:val="24"/>
          <w:szCs w:val="24"/>
          <w:lang w:val="en-US" w:eastAsia="zh-CN"/>
        </w:rPr>
      </w:pPr>
      <w:r>
        <w:rPr>
          <w:rFonts w:ascii="微软雅黑" w:hAnsi="微软雅黑" w:eastAsia="微软雅黑" w:cs="微软雅黑"/>
          <w:color w:val="2C2C2C"/>
          <w:sz w:val="24"/>
          <w:szCs w:val="24"/>
          <w:lang w:val="en-US" w:eastAsia="zh-CN"/>
        </w:rPr>
        <w:t>某银行诉称：某投资公司应向某银行偿还贷款本金2亿元及合同约定</w:t>
      </w:r>
      <w:r>
        <w:rPr>
          <w:rFonts w:hint="eastAsia" w:ascii="微软雅黑" w:hAnsi="微软雅黑" w:eastAsia="微软雅黑" w:cs="微软雅黑"/>
          <w:color w:val="2C2C2C"/>
          <w:sz w:val="24"/>
          <w:szCs w:val="24"/>
          <w:lang w:val="en-US" w:eastAsia="zh-CN"/>
        </w:rPr>
        <w:t xml:space="preserve">的利息、罚息、复利及违约金；某银行对某投资公司持有的丙基金合伙企业49.703％的基金份额折价、拍卖、变卖价款享有优先受偿权。 </w:t>
      </w:r>
    </w:p>
    <w:p w14:paraId="70971F48">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某投资公司辩称，某银行主张的复利、罚息以及违约金过高不应支持；丙基金合伙企业的合伙份额出质未经登记，质权未设立。 </w:t>
      </w:r>
    </w:p>
    <w:p w14:paraId="36C49587">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法院经审理查明：2018年11月20日，某银行与丁信托公司签订资金信托合同，委托丁信托公司向某投资公司发放信托贷款，金额不超过人民币2亿元整，总期限12个月。2018年12月20日，丁信托公司与某投资公司签订资金信托贷款合同，将某银行交付的信托资金2亿元向某投资公司发放，约定固定年利率6.65％，贷款期限自2018年12月24日至2019年12月24日，2019年12月24日一次性归还本金人民币2亿元整。罚息、复利均为贷款利率的1.5倍，违约金为所涉金额千分之一。景某某、深圳某某公司及北京某某公司分别为某投资公司的涉案债务提供连带责任保证。 </w:t>
      </w:r>
    </w:p>
    <w:p w14:paraId="359F4A05">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2018年12月20日，丁信托公司与某投资公司签订资金信托权利质押协议，某投资公司以其持有的丙基金合伙企业（有限合伙）49.703％的基金份额为涉案债务提供质押担保。丙基金合伙企业的普通合伙人深圳某某基金公司同意该质押行为。2018年12月19日,某投资公司作为上市公司发布公告称：因深圳市市场监督管理局无法办理该等合伙企业份额的质押手续,现经某投资公司与丁信托公司协商一致，同意某投资公司以向其出具《承诺函》的形式替代原先的质押手续。2018年12月24日和25日，某银行向丁信托公司转账2亿元；丁信托公司当日将该2亿元转账给某投资公司。2020年1月2日，某银行与丁信托公司、丁信托公司与某投资公司分别签订补充合同，约定资金信托合同的信托期限和贷款期限延长至2020年6月24日，利率标准自2019年12月24日（含）至2020年6月24日（不含）贷款固定年利率变更为9.5％。2020年12月1日，因某投资公司欠付本息，丁信托公司将合同项下全部权利和义务转由某银行享有和履行。2019年12月24日（不含）之前的利息已经支付完毕；2019年12月24日（含）至2020年6月24日（不含）的利息实际支付260万元，尚有应付未付利息7058333.33元。 </w:t>
      </w:r>
    </w:p>
    <w:p w14:paraId="00563E71">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郑州市中级人民法院于2021年6月22日作出（2021）豫01民初45号民事判决：一、某投资公司于本判决生效之日起十五日内向某银行偿还借款本金2亿元并支付利息、罚息（截至2020年6月24日的未付利息为7058333.33元。自2020年6月24日起，以20000万元为本金，按照年利率14.25%计算至实际清偿之日止）；二、北京某某公司、深圳某某公司、景某某对上述第一项债务承担连带清偿责任；三、某银行有在上述第一项债权范围内对某投资公司持有的深圳某某公司30%的股权折价、拍卖、变卖价款享有优先受偿权；四、驳回某银行的其他诉讼请求。宣判后，某银行不服，提出上诉。河南省高级人民法院于2022年3月15日作出（2021）豫民终949号民事判决：一、撤销河南省郑州市中级人民法院（2021）豫01民初45号民事判决；二、某投资公司于本判决生效之日起十五日内向某银行偿还借款本金2亿元并支付利息、复利、罚息、违约金（截至2020年6月24日的未付利息为7058333.33元；自2020年6月24日起，以20000万元为本金，按照年利率24％计算至实际清偿之日止）；三、北京某某公司、深圳某某公司、景某某对上述第二项债务承担连带清偿责任；四、某银行在上述第二项债权范围内对某投资公司持有的深圳某某公司30％的股权折价、拍卖、变卖价款享有优先受偿权；五、某银行有权以某投资公司持有的丙基金合伙企业49.703%的合伙财产份额的折价、拍卖、变卖价款清偿上述第二项债权；六、驳回某银行的其他诉讼请求。 </w:t>
      </w:r>
    </w:p>
    <w:p w14:paraId="1A428443">
      <w:pPr>
        <w:spacing w:after="120" w:line="360" w:lineRule="auto"/>
        <w:ind w:firstLine="480"/>
        <w:rPr>
          <w:rFonts w:ascii="微软雅黑" w:hAnsi="微软雅黑" w:eastAsia="微软雅黑" w:cs="微软雅黑"/>
          <w:b/>
          <w:bCs/>
          <w:color w:val="2C2C2C"/>
          <w:sz w:val="24"/>
          <w:szCs w:val="24"/>
        </w:rPr>
      </w:pPr>
      <w:r>
        <w:rPr>
          <w:rFonts w:hint="default" w:ascii="微软雅黑" w:hAnsi="微软雅黑" w:eastAsia="微软雅黑" w:cs="微软雅黑"/>
          <w:b/>
          <w:bCs/>
          <w:color w:val="2C2C2C"/>
          <w:sz w:val="24"/>
          <w:szCs w:val="24"/>
          <w:lang w:val="en-US" w:eastAsia="zh-CN"/>
        </w:rPr>
        <w:t xml:space="preserve">裁判理由 </w:t>
      </w:r>
    </w:p>
    <w:p w14:paraId="52F36CF5">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法院生效裁判认为：本案系信托通道业务，实为借款合同纠纷，各当事人之间签订的合同均系各方当事人的真实意思表示，内容不违反法律、行政法规的强制性规定，合法有效，各方当事人均应按合同内容全面履行合同义务。根据涉案资金信托贷款合同及补充合同、借（贷）款相关要素确认凭证等约定，某投资公司通过丁信托公司向某银行贷款人民币2亿元，于2020年6月24日届满。某投资公司逾期未偿还本金，截至2020年6月24日，尚有应付未付利息7058333.33元，上述本息应予偿还。</w:t>
      </w:r>
    </w:p>
    <w:p w14:paraId="5D7AC194">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关于2020年6月24日之后的利息罚息，某投资公司因未能按照合同约定归还贷款本金及利息,已构成违约,应按照合同约定支付利息、罚息以及复利、违约金等。某银行作为原合同当事人丁信托公司的权利义务承继人，起诉某投资公司主张本金、利息、罚息、复利、违约金具有合同依据，依法应予以支持。关于利息、罚息、复利、违约金的计算标准问题。</w:t>
      </w:r>
    </w:p>
    <w:p w14:paraId="61DE08BB">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某银行主张的利息、罚息、复利、违约金总和已超50%，某投资公司认为某银行同时主张利息、复利、罚息、违约金显著背离实际损失，不应支持其关于复利、违约金的请求，某银行亦未能证明其实际损失，故对某银行主张的利息、罚息、复利、违约金总和超出24%的部分不予支持。 </w:t>
      </w:r>
    </w:p>
    <w:p w14:paraId="4DA55520">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关于某银行对某投资公司持有的丙基金合伙企业49.703%的合伙份额折价、拍卖、变卖价款是否享有优先受偿权的问题。丁信托公司与某投资公司签订的《权利质押协议》是双方共同意思表示，自双方签字之日起成立并生效。但该权利质押未办理出质登记，不符合《中华人民共和国物权法》关于权利质权的设立要件，不具有物权效力。某银行有权以某投资公司持有的丙基金合伙企业49.703%的合伙份额的折价、拍卖、变卖价款清偿其债务，但该权利不具有对抗效力和优先性。 </w:t>
      </w:r>
    </w:p>
    <w:p w14:paraId="0ABEB7A2">
      <w:pPr>
        <w:spacing w:after="120" w:line="360" w:lineRule="auto"/>
        <w:ind w:firstLine="480"/>
        <w:rPr>
          <w:rFonts w:ascii="微软雅黑" w:hAnsi="微软雅黑" w:eastAsia="微软雅黑" w:cs="微软雅黑"/>
          <w:b/>
          <w:bCs/>
          <w:color w:val="2C2C2C"/>
          <w:sz w:val="24"/>
          <w:szCs w:val="24"/>
        </w:rPr>
      </w:pPr>
      <w:r>
        <w:rPr>
          <w:rFonts w:hint="default" w:ascii="微软雅黑" w:hAnsi="微软雅黑" w:eastAsia="微软雅黑" w:cs="微软雅黑"/>
          <w:b/>
          <w:bCs/>
          <w:color w:val="2C2C2C"/>
          <w:sz w:val="24"/>
          <w:szCs w:val="24"/>
          <w:lang w:val="en-US" w:eastAsia="zh-CN"/>
        </w:rPr>
        <w:t xml:space="preserve">关联索引 </w:t>
      </w:r>
    </w:p>
    <w:p w14:paraId="03C06213">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《中华人民共和国民法典》第585条、第676条（本案适用的是1999年10月1日施行的《中华人民共和国合同法》第114条、第207条） </w:t>
      </w:r>
    </w:p>
    <w:p w14:paraId="1F138150">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《中华人民共和国民法典》第429条、第443条（本案适用的是2007年10月1日施行的《中华人民共和国物权法》第212条、第226条） </w:t>
      </w:r>
    </w:p>
    <w:p w14:paraId="0B178D16">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一审：河南省郑州市中级人民法院（2021）豫01民初45号民事判决（2021年6月22日） </w:t>
      </w:r>
    </w:p>
    <w:p w14:paraId="60B90266">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二审：河南省高级人民法院（2021）豫民终949号民事判决（2022年3月15日） </w:t>
      </w:r>
    </w:p>
    <w:p w14:paraId="5B921419">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b w:val="0"/>
          <w:bCs w:val="0"/>
          <w:color w:val="2C2C2C"/>
          <w:sz w:val="24"/>
          <w:szCs w:val="24"/>
          <w:lang w:val="en-US" w:eastAsia="zh-CN"/>
        </w:rPr>
        <w:t>本案例文本已于2024年2月26日作出调整</w:t>
      </w:r>
    </w:p>
    <w:p w14:paraId="338AB46E">
      <w:pPr>
        <w:spacing w:after="120" w:line="360" w:lineRule="auto"/>
        <w:ind w:firstLine="480"/>
        <w:rPr>
          <w:rFonts w:ascii="微软雅黑" w:hAnsi="微软雅黑" w:eastAsia="微软雅黑" w:cs="微软雅黑"/>
          <w:color w:val="2C2C2C"/>
          <w:sz w:val="24"/>
          <w:szCs w:val="24"/>
        </w:rPr>
      </w:pPr>
    </w:p>
    <w:p w14:paraId="4537B88E">
      <w:pPr>
        <w:spacing w:after="120" w:line="360" w:lineRule="auto"/>
        <w:jc w:val="center"/>
        <w:rPr>
          <w:rFonts w:ascii="微软雅黑" w:hAnsi="微软雅黑" w:eastAsia="微软雅黑" w:cs="微软雅黑"/>
          <w:b/>
          <w:bCs/>
          <w:color w:val="2C2C2C"/>
          <w:sz w:val="24"/>
          <w:szCs w:val="24"/>
        </w:rPr>
      </w:pPr>
      <w:r>
        <w:rPr>
          <w:rFonts w:hint="eastAsia" w:cs="微软雅黑"/>
          <w:b/>
          <w:bCs/>
          <w:color w:val="2C2C2C"/>
          <w:sz w:val="24"/>
          <w:szCs w:val="24"/>
          <w:lang w:val="en-US" w:eastAsia="zh-CN"/>
        </w:rPr>
        <w:t>9</w:t>
      </w:r>
      <w:r>
        <w:rPr>
          <w:rFonts w:hint="eastAsia" w:cs="微软雅黑"/>
          <w:b/>
          <w:bCs/>
          <w:color w:val="2C2C2C"/>
          <w:sz w:val="24"/>
          <w:szCs w:val="24"/>
          <w:lang w:eastAsia="zh-CN"/>
        </w:rPr>
        <w:t>.</w:t>
      </w:r>
      <w:r>
        <w:rPr>
          <w:rFonts w:ascii="微软雅黑" w:hAnsi="微软雅黑" w:eastAsia="微软雅黑" w:cs="微软雅黑"/>
          <w:b/>
          <w:bCs/>
          <w:color w:val="2C2C2C"/>
          <w:sz w:val="24"/>
          <w:szCs w:val="24"/>
        </w:rPr>
        <w:t xml:space="preserve"> </w:t>
      </w:r>
      <w:r>
        <w:rPr>
          <w:rFonts w:ascii="微软雅黑" w:hAnsi="微软雅黑" w:eastAsia="微软雅黑" w:cs="微软雅黑"/>
          <w:b/>
          <w:bCs/>
          <w:color w:val="2C2C2C"/>
          <w:sz w:val="24"/>
          <w:szCs w:val="24"/>
          <w:lang w:val="en-US" w:eastAsia="zh-CN"/>
        </w:rPr>
        <w:t xml:space="preserve">某银行诉张某某、周某某金融借款合同纠纷案 </w:t>
      </w:r>
    </w:p>
    <w:p w14:paraId="0DE0AB77">
      <w:pPr>
        <w:spacing w:after="120" w:line="360" w:lineRule="auto"/>
        <w:jc w:val="center"/>
        <w:rPr>
          <w:rFonts w:ascii="微软雅黑" w:hAnsi="微软雅黑" w:eastAsia="微软雅黑" w:cs="微软雅黑"/>
          <w:b/>
          <w:bCs/>
          <w:color w:val="2C2C2C"/>
          <w:sz w:val="24"/>
          <w:szCs w:val="24"/>
        </w:rPr>
      </w:pPr>
      <w:r>
        <w:rPr>
          <w:rFonts w:ascii="微软雅黑" w:hAnsi="微软雅黑" w:eastAsia="微软雅黑" w:cs="微软雅黑"/>
          <w:b/>
          <w:bCs/>
          <w:color w:val="2C2C2C"/>
          <w:sz w:val="24"/>
          <w:szCs w:val="24"/>
          <w:lang w:val="en-US" w:eastAsia="zh-CN"/>
        </w:rPr>
        <w:t>——夫妻关系存续期间共同债务的认定</w:t>
      </w:r>
    </w:p>
    <w:p w14:paraId="621E7387">
      <w:pPr>
        <w:spacing w:after="120" w:line="360" w:lineRule="auto"/>
        <w:jc w:val="right"/>
        <w:rPr>
          <w:sz w:val="24"/>
          <w:szCs w:val="24"/>
        </w:rPr>
      </w:pPr>
      <w:r>
        <w:rPr>
          <w:sz w:val="24"/>
          <w:szCs w:val="24"/>
          <w:lang w:val="en-US" w:eastAsia="zh-CN"/>
        </w:rPr>
        <w:t>2023-16-2-103-013</w:t>
      </w:r>
    </w:p>
    <w:p w14:paraId="7E51E98F">
      <w:pPr>
        <w:spacing w:after="120" w:line="360" w:lineRule="auto"/>
        <w:ind w:firstLine="480"/>
        <w:rPr>
          <w:rFonts w:ascii="微软雅黑" w:hAnsi="微软雅黑" w:eastAsia="微软雅黑" w:cs="微软雅黑"/>
          <w:b/>
          <w:bCs/>
          <w:color w:val="2C2C2C"/>
          <w:sz w:val="24"/>
          <w:szCs w:val="24"/>
        </w:rPr>
      </w:pPr>
      <w:r>
        <w:rPr>
          <w:rFonts w:hint="default" w:ascii="微软雅黑" w:hAnsi="微软雅黑" w:eastAsia="微软雅黑" w:cs="微软雅黑"/>
          <w:b/>
          <w:bCs/>
          <w:color w:val="2C2C2C"/>
          <w:sz w:val="24"/>
          <w:szCs w:val="24"/>
          <w:lang w:val="en-US" w:eastAsia="zh-CN"/>
        </w:rPr>
        <w:t xml:space="preserve">裁判要旨 </w:t>
      </w:r>
    </w:p>
    <w:p w14:paraId="3B3F1B5A">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夫妻一方在婚姻关系存续期间以个人名义超出家庭日常生活需要所负的债务，不属于夫妻共同债务，但债权人能证明该债务用于夫妻共同生活、共同生产经营或者基于夫妻双方共同意思表示的除外。 </w:t>
      </w:r>
    </w:p>
    <w:p w14:paraId="6A62A31D">
      <w:pPr>
        <w:spacing w:after="120" w:line="360" w:lineRule="auto"/>
        <w:ind w:firstLine="480"/>
        <w:rPr>
          <w:rFonts w:ascii="微软雅黑" w:hAnsi="微软雅黑" w:eastAsia="微软雅黑" w:cs="微软雅黑"/>
          <w:b/>
          <w:bCs/>
          <w:color w:val="2C2C2C"/>
          <w:sz w:val="24"/>
          <w:szCs w:val="24"/>
        </w:rPr>
      </w:pPr>
      <w:r>
        <w:rPr>
          <w:rFonts w:ascii="微软雅黑" w:hAnsi="微软雅黑" w:eastAsia="微软雅黑" w:cs="微软雅黑"/>
          <w:b/>
          <w:bCs/>
          <w:color w:val="2C2C2C"/>
          <w:sz w:val="24"/>
          <w:szCs w:val="24"/>
          <w:lang w:val="en-US" w:eastAsia="zh-CN"/>
        </w:rPr>
        <w:t xml:space="preserve">基本案情 </w:t>
      </w:r>
    </w:p>
    <w:p w14:paraId="236AAC0B">
      <w:pPr>
        <w:spacing w:after="120" w:line="360" w:lineRule="auto"/>
        <w:ind w:firstLine="480"/>
        <w:rPr>
          <w:rFonts w:ascii="微软雅黑" w:hAnsi="微软雅黑" w:eastAsia="微软雅黑" w:cs="微软雅黑"/>
          <w:color w:val="2C2C2C"/>
          <w:sz w:val="24"/>
          <w:szCs w:val="24"/>
        </w:rPr>
      </w:pPr>
      <w:r>
        <w:rPr>
          <w:rFonts w:ascii="微软雅黑" w:hAnsi="微软雅黑" w:eastAsia="微软雅黑" w:cs="微软雅黑"/>
          <w:color w:val="2C2C2C"/>
          <w:sz w:val="24"/>
          <w:szCs w:val="24"/>
          <w:lang w:val="en-US" w:eastAsia="zh-CN"/>
        </w:rPr>
        <w:t>原告某银行以张某某消费贷款用于家庭生活，未能按期归还为由起</w:t>
      </w:r>
      <w:r>
        <w:rPr>
          <w:rFonts w:hint="eastAsia" w:ascii="微软雅黑" w:hAnsi="微软雅黑" w:eastAsia="微软雅黑" w:cs="微软雅黑"/>
          <w:color w:val="2C2C2C"/>
          <w:sz w:val="24"/>
          <w:szCs w:val="24"/>
          <w:lang w:val="en-US" w:eastAsia="zh-CN"/>
        </w:rPr>
        <w:t xml:space="preserve">诉请求：1.判令张某某立即偿还借款本金908797.21元,及至其实际清偿之日止的利息、罚息、复利（暂计至2018年7月31日40873.46元）；2.判令张某某承担某银行为本次诉讼所支付的律师费19060元；3.判令周某某就张某某的上述债务承担共同还款责任；4.判令张某某、周某某承担本案受理费、保全费、公告费等诉讼费用。 </w:t>
      </w:r>
    </w:p>
    <w:p w14:paraId="35884C02">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被告张某某辩称，某银行所述的贷款情况属实，张某某与周某某于2010年3月23日登记结婚，2017年10月10日离婚。借款合同上的周某某的签字系张某某代签，借款是为了做蚕丝生意，签订该合同并未告知过周某某，当时张某某与周某某共同生活，之所以代替周某某签字是因为用夫妻名义贷款可以获得更多贷款额度，认可上述债务系张某某个人所借，应由张某某个人承担。 </w:t>
      </w:r>
    </w:p>
    <w:p w14:paraId="5A721FCE">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被告周某某辩称：不同意某银行的全部诉讼请求，涉案借款是张某某个人向某银行借的，周某某对此并不知情，事后也没有取得周某某追认。借款数额巨大，超出了家庭日常生活消费的范围，借款也没有用于夫妻共同生活或者家庭经营，周某某没有享受到该笔借款的收益，故该笔借款属于张某某的个人债务，周某某不应承担还款责任。 </w:t>
      </w:r>
    </w:p>
    <w:p w14:paraId="38241885">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法院经审理查明：周某某与张某某原系夫妻关系，二人于2010年3月23日登记结婚，2017年10月10日双方协议离婚。2016年7月19日，某银行与张某某签订了《个人消贷易授信额度及支用借款合同》，该合同约定，鉴于张某某向某银行申请人民币个人授信额度，并将该额度全额核定为消贷易额度划拨到其指定银行卡上，张某某使用该指定账户提现或对应的银行卡进行刷卡消费即作为申请个人人民币贷款。消贷易总额度为100万元，用于家庭消费。张某某指定划拨消贷易额度的消贷易卡卡号为6213************，消贷易额度有效期自消贷易额度划拨至消贷易卡之日起至2017年7月13日止。上述合同同时约定，任何一笔贷款的贷款期限为5年，自贷款实际发放日起算。贷款利率为浮动利率，年利率为央行公布的同档期贷款基准利率上浮55%，基准利率调整的次公历年的1月1日为合同利率调整日。还款方式为等额本息，每期还款日为每月10日。张某某未按合同约定按时足额偿还任意一期贷款本息的，某银行有权宣布张某某已提用贷款部分的本息立即全部提前到期，并有权对逾期贷款本金计收罚息，罚息利率为贷款利率上浮50%。对不能按时支付的利息，某银行有权按罚息利率计收复利。如张某某出现逾期还款行为，由此引起的包括诉讼费、律师费在内的一切费用由借款人承担。共同还款人处有“周某某”字样的签字。 </w:t>
      </w:r>
    </w:p>
    <w:p w14:paraId="124CF70D">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2016年7月21日至2017年7月11日之间，张某某通过消贷易卡消费分别形成42笔贷款，贷款期限均为5年。2018年1月10日起张某某未按合同约定偿还贷款。截至2020年5月7日张某某尚欠借款本金908797.21元,利息、罚息、复利205594.35元。2018年8月16日，某银行与北京某律师事务所因本案签订诉讼业务法律服务委托合同，该合同签订后，某银行支付该所律师代理费19060元。 </w:t>
      </w:r>
    </w:p>
    <w:p w14:paraId="59A51B8B">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庭审中，周某某述称《个人消贷易授信额度及支用借款合同》上的签字并非自己所签，某银行在涉案贷款的办理中违反流程，未履行必经程序将其列为共同还款人。为证明该事实，周某某提供了北京天平司法鉴定中心出具的编号为:北天司鉴〔2019〕文鉴字第130号《文书鉴定意见书》一份以及《中国银行保险监督管理委员会北京监管局办公室》出具的编号为：〔2019〕247号《关于对周某某反映问题回复的函》一份。 </w:t>
      </w:r>
    </w:p>
    <w:p w14:paraId="21BEF50E">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该鉴定意见书载明，《个人消贷易授信额度及支用借款合同》以及《某银行股份有限公司个人贷款申请表》上“周某某”签名笔迹与样本中周某某签名笔迹不是同一人书写的。回复函载明，经查，某银行并未亲见周某某本人作为共同还款人在相关文件上签字，未对贷款相关材料的真实性性及共同还款人情况进行深入审核，未通过有效方式核查贷款支付是否符合约定用途，违反了《个人贷款管理暂行办法》（中国银监会令2010年第2号）第十三条、第三十四条的相关规定。 </w:t>
      </w:r>
    </w:p>
    <w:p w14:paraId="463670F7">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对于上述两份证据，某银行均认可其真实性，某银行称该份鉴定意见书系其与周某某协商后委托鉴定机构出具的，鉴定中所需要的检验材料《个人消贷易授信额度及支用借款合同》原件系某银行提供的。为此，某银行支付了鉴定费15300元。张某某对上述两份证据的真实性不持异议。 </w:t>
      </w:r>
    </w:p>
    <w:p w14:paraId="5E3D30A1">
      <w:pPr>
        <w:spacing w:after="120" w:line="360" w:lineRule="auto"/>
        <w:ind w:firstLine="480"/>
        <w:rPr>
          <w:rFonts w:hint="default" w:ascii="微软雅黑" w:hAnsi="微软雅黑" w:eastAsia="微软雅黑" w:cs="微软雅黑"/>
          <w:b/>
          <w:bCs/>
          <w:color w:val="2C2C2C"/>
          <w:sz w:val="24"/>
          <w:szCs w:val="24"/>
          <w:lang w:val="en-US" w:eastAsia="zh-CN"/>
        </w:rPr>
      </w:pPr>
      <w:r>
        <w:rPr>
          <w:rFonts w:hint="eastAsia" w:ascii="微软雅黑" w:hAnsi="微软雅黑" w:eastAsia="微软雅黑" w:cs="微软雅黑"/>
          <w:color w:val="2C2C2C"/>
          <w:sz w:val="24"/>
          <w:szCs w:val="24"/>
          <w:lang w:val="en-US" w:eastAsia="zh-CN"/>
        </w:rPr>
        <w:t xml:space="preserve">北京市西城区人民法院于2018年12月27日做出（2018）京0102民初40649号民事判决：一、张某某、周某某于本判决生效后10日内共同偿还某银行截至2018年7月31日的剩余贷款本金908797.21元，利息、罚息、复利40873.46元及自2018年8月1日起至实际清偿之日止的利息、罚息、复利（按照《个人消贷易授信额度及支用借款合同》约定的标准计算）；二、张某某、周某某于本判决生效后10日内共同支付某银行律师费19060元。后周某某不服，向北京市第二中级人民法院申请再审。北京市第二中级人民法院裁定提审本案并于2019年11月13日作出（2019）京02民再147号民事裁定：撤销北京市西城区人民法院（2018）京0102民初40649号民事判决；将本案发回北京市西城区人民法院重审。北京市西城区人民法院经重新审理，于2020年8月25日做出（2020）京0102民初15701号民事判决：一、张某某于本判决生效后十日内偿还某银行贷款本金908797.21元及截至2020年5月7日的利息、罚息、复利205594.35元，并按照《个人消贷易授信额度及支用借款合同》约定的标准支付自2020年5月8日起至实际清偿之日止的利息、罚息、复利；二、张某某于本判决生效后十日内支付某银行律师费19060元；三、驳回某银行的其他诉讼请求。 </w:t>
      </w:r>
    </w:p>
    <w:p w14:paraId="55834240">
      <w:pPr>
        <w:spacing w:after="120" w:line="360" w:lineRule="auto"/>
        <w:ind w:firstLine="480"/>
        <w:rPr>
          <w:rFonts w:ascii="微软雅黑" w:hAnsi="微软雅黑" w:eastAsia="微软雅黑" w:cs="微软雅黑"/>
          <w:b/>
          <w:bCs/>
          <w:color w:val="2C2C2C"/>
          <w:sz w:val="24"/>
          <w:szCs w:val="24"/>
        </w:rPr>
      </w:pPr>
      <w:r>
        <w:rPr>
          <w:rFonts w:hint="default" w:ascii="微软雅黑" w:hAnsi="微软雅黑" w:eastAsia="微软雅黑" w:cs="微软雅黑"/>
          <w:b/>
          <w:bCs/>
          <w:color w:val="2C2C2C"/>
          <w:sz w:val="24"/>
          <w:szCs w:val="24"/>
          <w:lang w:val="en-US" w:eastAsia="zh-CN"/>
        </w:rPr>
        <w:t xml:space="preserve">裁判理由 </w:t>
      </w:r>
    </w:p>
    <w:p w14:paraId="368DFCB3">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法院生效裁判认为，《最高人民法院关于审理涉及夫妻债务纠纷案件适用法律有关问题的解释》第三条规定，夫妻一方在婚姻关系存续期间以个人名义超出家庭日常生活需要所负的债务，债权人以属于夫妻共同债务为由主张权利的，人民法院不予支持，但债权人能够证明该债务用于夫妻共同生活、共同生产经营或者基于夫妻双方共同意思表示的除外。案涉《个人消贷易授信额度及支用借款合同》上周某某的签字并非本人所签，周某某亦称其对借款事宜并不知晓，故上述借款合同应视为张某某以个人名义与某银行所签订。该借款合同所涉借款金额远超家庭日常生活所需，某银行主张上述借款属于周某某与张某某的夫妻共同债务，应举证证明该债务用于夫妻共同生活、共同生产经营或者基于夫妻双方共同意思表示。某银行并未提供证据证明，故应承担举证不能的法律责任，其诉请判令周某某承担共同还款责任，缺乏事实及法律依据，不予支持。 </w:t>
      </w:r>
    </w:p>
    <w:p w14:paraId="4E43C333">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某银行与张某某签订的借款合同，系双方当事人的真实意思表示，且未违反法律、行政法规的强制性规定，应为合法有效，各方均应按照约定履行相关义务。某银行依约发放贷款后，张某某未按时足额清偿借款本息，其行为已构成违约，某银行根据合同约定要求张某某偿还借款本金，并清偿相应利息、复利、罚息的诉讼请求，符合法律规定及合同约定，予以支持。关于某银行要求张某某承担某银行已经实际支付的律师费的诉讼请求，符合双方所签合同约定，予以支持。 </w:t>
      </w:r>
    </w:p>
    <w:p w14:paraId="33DD4428">
      <w:pPr>
        <w:spacing w:after="120" w:line="360" w:lineRule="auto"/>
        <w:ind w:firstLine="480"/>
        <w:rPr>
          <w:rFonts w:ascii="微软雅黑" w:hAnsi="微软雅黑" w:eastAsia="微软雅黑" w:cs="微软雅黑"/>
          <w:b/>
          <w:bCs/>
          <w:color w:val="2C2C2C"/>
          <w:sz w:val="24"/>
          <w:szCs w:val="24"/>
        </w:rPr>
      </w:pPr>
      <w:r>
        <w:rPr>
          <w:rFonts w:hint="default" w:ascii="微软雅黑" w:hAnsi="微软雅黑" w:eastAsia="微软雅黑" w:cs="微软雅黑"/>
          <w:b/>
          <w:bCs/>
          <w:color w:val="2C2C2C"/>
          <w:sz w:val="24"/>
          <w:szCs w:val="24"/>
          <w:lang w:val="en-US" w:eastAsia="zh-CN"/>
        </w:rPr>
        <w:t xml:space="preserve">关联索引 </w:t>
      </w:r>
    </w:p>
    <w:p w14:paraId="005F3797">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《中华人民共和国民法典》第607条、第675条、第676条（本案适用的是1999年10月1日施行的《中华人民共和国合同法》第196条、第206条、第207条） </w:t>
      </w:r>
    </w:p>
    <w:p w14:paraId="0049D148">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《最高人民法院关于审理涉及夫妻债务纠纷案件适用法律有关问题的解释》第3条 </w:t>
      </w:r>
    </w:p>
    <w:p w14:paraId="54958515">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一审：北京市西城区人民法院（2018）京0102民初40649号民事判决（2018年12月27日） </w:t>
      </w:r>
    </w:p>
    <w:p w14:paraId="09FE628D">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再审审查：北京市第二中级人民法院（2019）京02民再147号民事裁定（2019年11月13日） </w:t>
      </w:r>
    </w:p>
    <w:p w14:paraId="321E76DE">
      <w:pPr>
        <w:spacing w:after="120" w:line="360" w:lineRule="auto"/>
        <w:ind w:firstLine="480"/>
        <w:rPr>
          <w:rFonts w:ascii="微软雅黑" w:hAnsi="微软雅黑" w:eastAsia="微软雅黑" w:cs="微软雅黑"/>
          <w:color w:val="2C2C2C"/>
          <w:sz w:val="24"/>
          <w:szCs w:val="24"/>
        </w:rPr>
      </w:pPr>
      <w:r>
        <w:rPr>
          <w:rFonts w:hint="eastAsia" w:ascii="微软雅黑" w:hAnsi="微软雅黑" w:eastAsia="微软雅黑" w:cs="微软雅黑"/>
          <w:color w:val="2C2C2C"/>
          <w:sz w:val="24"/>
          <w:szCs w:val="24"/>
          <w:lang w:val="en-US" w:eastAsia="zh-CN"/>
        </w:rPr>
        <w:t xml:space="preserve">再审判决：北京市西城区人民法院（2020）京0102民初15701号民事判决（2020年8月25日） </w:t>
      </w:r>
    </w:p>
    <w:p w14:paraId="599640A6">
      <w:pPr>
        <w:spacing w:after="120" w:line="360" w:lineRule="auto"/>
        <w:ind w:firstLine="480"/>
        <w:rPr>
          <w:rFonts w:ascii="微软雅黑" w:hAnsi="微软雅黑" w:eastAsia="微软雅黑" w:cs="微软雅黑"/>
          <w:b w:val="0"/>
          <w:bCs w:val="0"/>
          <w:color w:val="2C2C2C"/>
          <w:sz w:val="24"/>
          <w:szCs w:val="24"/>
        </w:rPr>
      </w:pPr>
      <w:r>
        <w:rPr>
          <w:rFonts w:hint="eastAsia" w:ascii="微软雅黑" w:hAnsi="微软雅黑" w:eastAsia="微软雅黑" w:cs="微软雅黑"/>
          <w:b w:val="0"/>
          <w:bCs w:val="0"/>
          <w:color w:val="2C2C2C"/>
          <w:sz w:val="24"/>
          <w:szCs w:val="24"/>
          <w:lang w:val="en-US" w:eastAsia="zh-CN"/>
        </w:rPr>
        <w:t>本案例文本已于2024年3月8日作出调整</w:t>
      </w:r>
    </w:p>
    <w:p w14:paraId="74111DA5">
      <w:pPr>
        <w:spacing w:after="120" w:line="360" w:lineRule="auto"/>
        <w:rPr>
          <w:rFonts w:ascii="微软雅黑" w:hAnsi="微软雅黑" w:eastAsia="微软雅黑" w:cs="微软雅黑"/>
          <w:color w:val="2C2C2C"/>
          <w:sz w:val="24"/>
          <w:szCs w:val="24"/>
        </w:rPr>
      </w:pPr>
    </w:p>
    <w:p w14:paraId="16A6D0A0">
      <w:pPr>
        <w:spacing w:after="120" w:line="360" w:lineRule="auto"/>
        <w:jc w:val="center"/>
        <w:rPr>
          <w:rFonts w:ascii="微软雅黑" w:hAnsi="微软雅黑" w:eastAsia="微软雅黑" w:cs="微软雅黑"/>
          <w:b/>
          <w:bCs/>
          <w:color w:val="2C2C2C"/>
          <w:sz w:val="24"/>
          <w:szCs w:val="24"/>
          <w:highlight w:val="none"/>
        </w:rPr>
      </w:pPr>
      <w:r>
        <w:rPr>
          <w:rFonts w:hint="eastAsia" w:cs="微软雅黑"/>
          <w:b/>
          <w:bCs/>
          <w:color w:val="2C2C2C"/>
          <w:sz w:val="24"/>
          <w:szCs w:val="24"/>
          <w:highlight w:val="none"/>
          <w:lang w:val="en-US" w:eastAsia="zh-CN"/>
        </w:rPr>
        <w:t>10</w:t>
      </w:r>
      <w:r>
        <w:rPr>
          <w:rFonts w:hint="eastAsia" w:cs="微软雅黑"/>
          <w:b/>
          <w:bCs/>
          <w:color w:val="2C2C2C"/>
          <w:sz w:val="24"/>
          <w:szCs w:val="24"/>
          <w:highlight w:val="none"/>
          <w:lang w:eastAsia="zh-CN"/>
        </w:rPr>
        <w:t>.</w:t>
      </w:r>
      <w:r>
        <w:rPr>
          <w:rFonts w:ascii="微软雅黑" w:hAnsi="微软雅黑" w:eastAsia="微软雅黑" w:cs="微软雅黑"/>
          <w:b/>
          <w:bCs/>
          <w:color w:val="2C2C2C"/>
          <w:sz w:val="24"/>
          <w:szCs w:val="24"/>
          <w:highlight w:val="none"/>
        </w:rPr>
        <w:t xml:space="preserve"> </w:t>
      </w:r>
      <w:r>
        <w:rPr>
          <w:rFonts w:ascii="微软雅黑" w:hAnsi="微软雅黑" w:eastAsia="微软雅黑" w:cs="微软雅黑"/>
          <w:b/>
          <w:bCs/>
          <w:color w:val="2C2C2C"/>
          <w:sz w:val="24"/>
          <w:szCs w:val="24"/>
          <w:highlight w:val="none"/>
          <w:lang w:val="en-US" w:eastAsia="zh-CN"/>
        </w:rPr>
        <w:t>黑龙江省林口某银行诉邓某生、白某柱小额借款合同纠纷案</w:t>
      </w:r>
    </w:p>
    <w:p w14:paraId="064C6CA8">
      <w:pPr>
        <w:spacing w:after="120" w:line="360" w:lineRule="auto"/>
        <w:jc w:val="center"/>
        <w:rPr>
          <w:rFonts w:ascii="微软雅黑" w:hAnsi="微软雅黑" w:eastAsia="微软雅黑" w:cs="微软雅黑"/>
          <w:b/>
          <w:bCs/>
          <w:color w:val="2C2C2C"/>
          <w:sz w:val="24"/>
          <w:szCs w:val="24"/>
          <w:highlight w:val="none"/>
        </w:rPr>
      </w:pPr>
      <w:r>
        <w:rPr>
          <w:rFonts w:ascii="微软雅黑" w:hAnsi="微软雅黑" w:eastAsia="微软雅黑" w:cs="微软雅黑"/>
          <w:b/>
          <w:bCs/>
          <w:color w:val="2C2C2C"/>
          <w:sz w:val="24"/>
          <w:szCs w:val="24"/>
          <w:highlight w:val="none"/>
          <w:lang w:val="en-US" w:eastAsia="zh-CN"/>
        </w:rPr>
        <w:t>——债务人对超过诉讼时效的主债务重新确认，不能视为担保人对担保</w:t>
      </w:r>
      <w:r>
        <w:rPr>
          <w:rFonts w:hint="eastAsia" w:ascii="微软雅黑" w:hAnsi="微软雅黑" w:eastAsia="微软雅黑" w:cs="微软雅黑"/>
          <w:b/>
          <w:bCs/>
          <w:color w:val="2C2C2C"/>
          <w:sz w:val="24"/>
          <w:szCs w:val="24"/>
          <w:highlight w:val="none"/>
          <w:lang w:val="en-US" w:eastAsia="zh-CN"/>
        </w:rPr>
        <w:t>责任的确认</w:t>
      </w:r>
    </w:p>
    <w:p w14:paraId="02A2E867">
      <w:pPr>
        <w:spacing w:after="120" w:line="360" w:lineRule="auto"/>
        <w:ind w:firstLine="480"/>
        <w:jc w:val="right"/>
        <w:rPr>
          <w:rFonts w:hint="default" w:ascii="微软雅黑" w:hAnsi="微软雅黑" w:eastAsia="微软雅黑" w:cs="微软雅黑"/>
          <w:b w:val="0"/>
          <w:bCs w:val="0"/>
          <w:color w:val="2C2C2C"/>
          <w:sz w:val="24"/>
          <w:szCs w:val="24"/>
          <w:highlight w:val="none"/>
          <w:lang w:val="en-US" w:eastAsia="zh-CN"/>
        </w:rPr>
      </w:pPr>
      <w:r>
        <w:rPr>
          <w:rFonts w:hint="default" w:ascii="微软雅黑" w:hAnsi="微软雅黑" w:eastAsia="微软雅黑" w:cs="微软雅黑"/>
          <w:b w:val="0"/>
          <w:bCs w:val="0"/>
          <w:color w:val="2C2C2C"/>
          <w:sz w:val="24"/>
          <w:szCs w:val="24"/>
          <w:highlight w:val="none"/>
          <w:lang w:val="en-US" w:eastAsia="zh-CN"/>
        </w:rPr>
        <w:t>2025-16-2-103-003</w:t>
      </w:r>
    </w:p>
    <w:p w14:paraId="47AFF176">
      <w:pPr>
        <w:spacing w:after="120" w:line="360" w:lineRule="auto"/>
        <w:ind w:firstLine="480"/>
        <w:rPr>
          <w:rFonts w:hint="eastAsia" w:ascii="微软雅黑" w:hAnsi="微软雅黑" w:eastAsia="微软雅黑" w:cs="微软雅黑"/>
          <w:color w:val="2C2C2C"/>
          <w:sz w:val="24"/>
          <w:szCs w:val="24"/>
          <w:highlight w:val="none"/>
          <w:lang w:val="en-US" w:eastAsia="zh-CN"/>
        </w:rPr>
      </w:pPr>
      <w:r>
        <w:rPr>
          <w:rFonts w:hint="default" w:ascii="微软雅黑" w:hAnsi="微软雅黑" w:eastAsia="微软雅黑" w:cs="微软雅黑"/>
          <w:b/>
          <w:bCs/>
          <w:color w:val="2C2C2C"/>
          <w:sz w:val="24"/>
          <w:szCs w:val="24"/>
          <w:highlight w:val="none"/>
          <w:lang w:val="en-US" w:eastAsia="zh-CN"/>
        </w:rPr>
        <w:t xml:space="preserve">裁判要旨 </w:t>
      </w:r>
      <w:r>
        <w:rPr>
          <w:rFonts w:hint="eastAsia" w:ascii="微软雅黑" w:hAnsi="微软雅黑" w:eastAsia="微软雅黑" w:cs="微软雅黑"/>
          <w:color w:val="2C2C2C"/>
          <w:sz w:val="24"/>
          <w:szCs w:val="24"/>
          <w:highlight w:val="none"/>
          <w:lang w:val="en-US" w:eastAsia="zh-CN"/>
        </w:rPr>
        <w:t xml:space="preserve"> </w:t>
      </w:r>
    </w:p>
    <w:p w14:paraId="622E69CF">
      <w:pPr>
        <w:spacing w:after="120" w:line="360" w:lineRule="auto"/>
        <w:ind w:firstLine="480"/>
        <w:rPr>
          <w:rFonts w:hint="eastAsia" w:ascii="微软雅黑" w:hAnsi="微软雅黑" w:eastAsia="微软雅黑" w:cs="微软雅黑"/>
          <w:color w:val="2C2C2C"/>
          <w:sz w:val="24"/>
          <w:szCs w:val="24"/>
          <w:highlight w:val="none"/>
          <w:lang w:val="en-US" w:eastAsia="zh-CN"/>
        </w:rPr>
      </w:pPr>
      <w:r>
        <w:rPr>
          <w:rFonts w:hint="eastAsia" w:ascii="微软雅黑" w:hAnsi="微软雅黑" w:eastAsia="微软雅黑" w:cs="微软雅黑"/>
          <w:color w:val="2C2C2C"/>
          <w:sz w:val="24"/>
          <w:szCs w:val="24"/>
          <w:highlight w:val="none"/>
          <w:lang w:val="en-US" w:eastAsia="zh-CN"/>
        </w:rPr>
        <w:t xml:space="preserve">担保人依法对债务享有诉讼时效的独立抗辩权，债务人在主债务超过诉讼时效后重新确认债务的，对担保人不发生效力。债权人未在主债务诉讼时效届满前行使担保权利的，担保人有权拒绝承担担保责任。 </w:t>
      </w:r>
    </w:p>
    <w:p w14:paraId="059290A9">
      <w:pPr>
        <w:spacing w:after="120" w:line="360" w:lineRule="auto"/>
        <w:ind w:firstLine="480"/>
        <w:rPr>
          <w:rFonts w:hint="eastAsia" w:ascii="微软雅黑" w:hAnsi="微软雅黑" w:eastAsia="微软雅黑" w:cs="微软雅黑"/>
          <w:color w:val="2C2C2C"/>
          <w:sz w:val="24"/>
          <w:szCs w:val="24"/>
          <w:highlight w:val="none"/>
          <w:lang w:val="en-US" w:eastAsia="zh-CN"/>
        </w:rPr>
      </w:pPr>
      <w:r>
        <w:rPr>
          <w:rFonts w:hint="eastAsia" w:ascii="微软雅黑" w:hAnsi="微软雅黑" w:eastAsia="微软雅黑" w:cs="微软雅黑"/>
          <w:b/>
          <w:bCs/>
          <w:color w:val="2C2C2C"/>
          <w:sz w:val="24"/>
          <w:szCs w:val="24"/>
          <w:highlight w:val="none"/>
          <w:lang w:val="en-US" w:eastAsia="zh-CN"/>
        </w:rPr>
        <w:t>基本案情</w:t>
      </w:r>
      <w:r>
        <w:rPr>
          <w:rFonts w:hint="eastAsia" w:ascii="微软雅黑" w:hAnsi="微软雅黑" w:eastAsia="微软雅黑" w:cs="微软雅黑"/>
          <w:color w:val="2C2C2C"/>
          <w:sz w:val="24"/>
          <w:szCs w:val="24"/>
          <w:highlight w:val="none"/>
          <w:lang w:val="en-US" w:eastAsia="zh-CN"/>
        </w:rPr>
        <w:t xml:space="preserve"> </w:t>
      </w:r>
    </w:p>
    <w:p w14:paraId="5D6CF5CB">
      <w:pPr>
        <w:spacing w:after="120" w:line="360" w:lineRule="auto"/>
        <w:ind w:firstLine="480"/>
        <w:rPr>
          <w:rFonts w:hint="eastAsia" w:ascii="微软雅黑" w:hAnsi="微软雅黑" w:eastAsia="微软雅黑" w:cs="微软雅黑"/>
          <w:color w:val="2C2C2C"/>
          <w:sz w:val="24"/>
          <w:szCs w:val="24"/>
          <w:highlight w:val="none"/>
          <w:lang w:val="en-US" w:eastAsia="zh-CN"/>
        </w:rPr>
      </w:pPr>
      <w:r>
        <w:rPr>
          <w:rFonts w:hint="eastAsia" w:ascii="微软雅黑" w:hAnsi="微软雅黑" w:eastAsia="微软雅黑" w:cs="微软雅黑"/>
          <w:color w:val="2C2C2C"/>
          <w:sz w:val="24"/>
          <w:szCs w:val="24"/>
          <w:highlight w:val="none"/>
          <w:lang w:val="en-US" w:eastAsia="zh-CN"/>
        </w:rPr>
        <w:t xml:space="preserve">2007年12月22日，邓某生与黑龙江省林口某银行（以下简称林口某银行）签订个人借款合同，合同约定邓某生向林口某银行借款人民币60万元（币种下同），借款利率为月利率9.6‰，按月结息、到期还本。若逾期还款，在借款执行利率的基础上上浮50%计收罚息，直到本息清偿为止。约定借款到期日为2008年12月28日，借款方式为抵押担保。当日，林口某银行又与白某柱、案外人柏某喜签订抵押担保合同，合同约定以白某柱、柏某喜夫妻共有房产提供抵押担保，并办理了抵押登记。 </w:t>
      </w:r>
    </w:p>
    <w:p w14:paraId="1B76BF0E">
      <w:pPr>
        <w:spacing w:after="120" w:line="360" w:lineRule="auto"/>
        <w:ind w:firstLine="480"/>
        <w:rPr>
          <w:rFonts w:hint="eastAsia" w:ascii="微软雅黑" w:hAnsi="微软雅黑" w:eastAsia="微软雅黑" w:cs="微软雅黑"/>
          <w:color w:val="2C2C2C"/>
          <w:sz w:val="24"/>
          <w:szCs w:val="24"/>
          <w:highlight w:val="none"/>
          <w:lang w:val="en-US" w:eastAsia="zh-CN"/>
        </w:rPr>
      </w:pPr>
      <w:r>
        <w:rPr>
          <w:rFonts w:hint="eastAsia" w:ascii="微软雅黑" w:hAnsi="微软雅黑" w:eastAsia="微软雅黑" w:cs="微软雅黑"/>
          <w:color w:val="2C2C2C"/>
          <w:sz w:val="24"/>
          <w:szCs w:val="24"/>
          <w:highlight w:val="none"/>
          <w:lang w:val="en-US" w:eastAsia="zh-CN"/>
        </w:rPr>
        <w:t>2007年12月29日，林口某银行向邓某生发放贷款60万元。借款到期后，邓某生未履行还款义务。自2008年12月28日借款到期后，林口某银行于2011年11月3日、2017年12月8日通过登报方式向邓某生催收贷款</w:t>
      </w:r>
      <w:r>
        <w:rPr>
          <w:rFonts w:hint="eastAsia" w:cs="微软雅黑"/>
          <w:color w:val="2C2C2C"/>
          <w:sz w:val="24"/>
          <w:szCs w:val="24"/>
          <w:highlight w:val="none"/>
          <w:lang w:val="en-US" w:eastAsia="zh-CN"/>
        </w:rPr>
        <w:t>。</w:t>
      </w:r>
      <w:r>
        <w:rPr>
          <w:rFonts w:hint="eastAsia" w:ascii="微软雅黑" w:hAnsi="微软雅黑" w:eastAsia="微软雅黑" w:cs="微软雅黑"/>
          <w:color w:val="2C2C2C"/>
          <w:sz w:val="24"/>
          <w:szCs w:val="24"/>
          <w:highlight w:val="none"/>
          <w:lang w:val="en-US" w:eastAsia="zh-CN"/>
        </w:rPr>
        <w:t xml:space="preserve">2018年1月24日，邓某生妻子洪某凤在林口某银行送达的到逾期贷款催收通知单上签字捺印，该通知单内容体现林口某银行连续多年催收，均无法联系到借款人。2019年9月27日，林口某银行工作人员又找到邓某生索要贷款，邓某生承认贷款事实，但称没有能力给付。原告林口某银行于2019年9月向法院起诉，请求判令：邓某生、白某柱返还贷款本金并支付利息，确认其有权对案涉抵押财产行使抵押权。 </w:t>
      </w:r>
    </w:p>
    <w:p w14:paraId="0A41816A">
      <w:pPr>
        <w:spacing w:after="120" w:line="360" w:lineRule="auto"/>
        <w:ind w:firstLine="480"/>
        <w:rPr>
          <w:rFonts w:hint="eastAsia" w:ascii="微软雅黑" w:hAnsi="微软雅黑" w:eastAsia="微软雅黑" w:cs="微软雅黑"/>
          <w:color w:val="2C2C2C"/>
          <w:sz w:val="24"/>
          <w:szCs w:val="24"/>
          <w:highlight w:val="none"/>
          <w:lang w:val="en-US" w:eastAsia="zh-CN"/>
        </w:rPr>
      </w:pPr>
      <w:r>
        <w:rPr>
          <w:rFonts w:hint="eastAsia" w:ascii="微软雅黑" w:hAnsi="微软雅黑" w:eastAsia="微软雅黑" w:cs="微软雅黑"/>
          <w:color w:val="2C2C2C"/>
          <w:sz w:val="24"/>
          <w:szCs w:val="24"/>
          <w:highlight w:val="none"/>
          <w:lang w:val="en-US" w:eastAsia="zh-CN"/>
        </w:rPr>
        <w:t xml:space="preserve">被告邓某生辩称：邓某生与林口某银行间的债务已超过诉讼时效期间。被告白某柱辩称：还款期限届满后，林口某银行怠于行使主债务权利，现已丧失要求履行主债务的胜诉权，未在主债权诉讼时效期间行使抵押权，无权要求抵押人承担担保责任。 </w:t>
      </w:r>
    </w:p>
    <w:p w14:paraId="77959C71">
      <w:pPr>
        <w:spacing w:after="120" w:line="360" w:lineRule="auto"/>
        <w:ind w:firstLine="480"/>
        <w:rPr>
          <w:rFonts w:hint="eastAsia" w:ascii="微软雅黑" w:hAnsi="微软雅黑" w:eastAsia="微软雅黑" w:cs="微软雅黑"/>
          <w:color w:val="2C2C2C"/>
          <w:sz w:val="24"/>
          <w:szCs w:val="24"/>
          <w:highlight w:val="none"/>
          <w:lang w:val="en-US" w:eastAsia="zh-CN"/>
        </w:rPr>
      </w:pPr>
      <w:r>
        <w:rPr>
          <w:rFonts w:hint="eastAsia" w:ascii="微软雅黑" w:hAnsi="微软雅黑" w:eastAsia="微软雅黑" w:cs="微软雅黑"/>
          <w:color w:val="2C2C2C"/>
          <w:sz w:val="24"/>
          <w:szCs w:val="24"/>
          <w:highlight w:val="none"/>
          <w:lang w:val="en-US" w:eastAsia="zh-CN"/>
        </w:rPr>
        <w:t xml:space="preserve">另查明，2011年7月26日，林口某银行以与白某柱金融借款合同纠纷为由，向林口县人民法院提起诉讼，要求白某柱承担保证责任。经林口县人民法院一审和再审，最终于2014年10月20日驳回林口某银行的诉讼请求，并于同年11月10日向林口某银行送达民事判决书。 </w:t>
      </w:r>
    </w:p>
    <w:p w14:paraId="3AA59DFD">
      <w:pPr>
        <w:spacing w:after="120" w:line="360" w:lineRule="auto"/>
        <w:ind w:firstLine="480"/>
        <w:rPr>
          <w:rFonts w:hint="eastAsia" w:ascii="微软雅黑" w:hAnsi="微软雅黑" w:eastAsia="微软雅黑" w:cs="微软雅黑"/>
          <w:color w:val="2C2C2C"/>
          <w:sz w:val="24"/>
          <w:szCs w:val="24"/>
          <w:highlight w:val="none"/>
          <w:lang w:val="en-US" w:eastAsia="zh-CN"/>
        </w:rPr>
      </w:pPr>
      <w:r>
        <w:rPr>
          <w:rFonts w:hint="eastAsia" w:ascii="微软雅黑" w:hAnsi="微软雅黑" w:eastAsia="微软雅黑" w:cs="微软雅黑"/>
          <w:color w:val="2C2C2C"/>
          <w:sz w:val="24"/>
          <w:szCs w:val="24"/>
          <w:highlight w:val="none"/>
          <w:lang w:val="en-US" w:eastAsia="zh-CN"/>
        </w:rPr>
        <w:t xml:space="preserve">黑龙江省林口县人民法院于2019年12月27日作出（2019）黑1025民初1551号民事判决：驳回林口某银行的诉讼请求。林口某银行不服，以邓某生认可债务存在以及债权处于连续状态事实，系因无偿付能力未还款，林口某银行有公告催收行为，案涉债务未超过诉讼时效期间为由提起上诉。牡丹江市中级人民法院于2020年9月24日作出（2020）黑10民终703号民事判决：一、撤销黑龙江省林口县（2019）黑1025民初1551号民事判决；二、邓某生于判决生效三十日内偿还林口某银行借款 本金60万元，利息、罚息、复利共计2078487.54元，2019年9月28日之后利息按照约定利率计算至本金结清时止；三、如邓某生不履行还款义务，林口某银行有权在白某柱抵押财产范围内优先受偿，白某柱有向邓某生追偿的权利。宣判后，白某柱向检察机关申诉，黑龙江省人民检察院向黑龙江省高级人民法院提出抗诉。黑龙江省高级人民法院提审后于2023年11月10日作出（2023）黑民再151号民事判决：一、维持牡丹江市中级人民法院（2020）黑10民终703号民事判决主文第一项、第二项，即撤销林口县人民法院（2019）黑1025民初1551号民事判决；邓某生于本 判决生效三十日内偿还林口某银行借款本金60万元，利息、罚息、复利共计2078487.54元，2019年9月28日之后利息按照约定利率计算至本金结清时止。二、撤销牡丹江市中级人民法院（2020）黑10民终703号民事判决主文第三项。三、驳回林口某银行的其他诉讼请求。 </w:t>
      </w:r>
    </w:p>
    <w:p w14:paraId="67C580FC">
      <w:pPr>
        <w:spacing w:after="120" w:line="360" w:lineRule="auto"/>
        <w:ind w:firstLine="480"/>
        <w:rPr>
          <w:rFonts w:hint="eastAsia" w:ascii="微软雅黑" w:hAnsi="微软雅黑" w:eastAsia="微软雅黑" w:cs="微软雅黑"/>
          <w:color w:val="2C2C2C"/>
          <w:sz w:val="24"/>
          <w:szCs w:val="24"/>
          <w:highlight w:val="none"/>
          <w:lang w:val="en-US" w:eastAsia="zh-CN"/>
        </w:rPr>
      </w:pPr>
      <w:r>
        <w:rPr>
          <w:rFonts w:hint="eastAsia" w:ascii="微软雅黑" w:hAnsi="微软雅黑" w:eastAsia="微软雅黑" w:cs="微软雅黑"/>
          <w:b/>
          <w:bCs/>
          <w:color w:val="2C2C2C"/>
          <w:sz w:val="24"/>
          <w:szCs w:val="24"/>
          <w:highlight w:val="none"/>
          <w:lang w:val="en-US" w:eastAsia="zh-CN"/>
        </w:rPr>
        <w:t>裁判理由</w:t>
      </w:r>
      <w:r>
        <w:rPr>
          <w:rFonts w:hint="eastAsia" w:ascii="微软雅黑" w:hAnsi="微软雅黑" w:eastAsia="微软雅黑" w:cs="微软雅黑"/>
          <w:color w:val="2C2C2C"/>
          <w:sz w:val="24"/>
          <w:szCs w:val="24"/>
          <w:highlight w:val="none"/>
          <w:lang w:val="en-US" w:eastAsia="zh-CN"/>
        </w:rPr>
        <w:t xml:space="preserve"> </w:t>
      </w:r>
    </w:p>
    <w:p w14:paraId="63C3C5B4">
      <w:pPr>
        <w:spacing w:after="120" w:line="360" w:lineRule="auto"/>
        <w:ind w:firstLine="480"/>
        <w:rPr>
          <w:rFonts w:hint="eastAsia" w:ascii="微软雅黑" w:hAnsi="微软雅黑" w:eastAsia="微软雅黑" w:cs="微软雅黑"/>
          <w:color w:val="2C2C2C"/>
          <w:sz w:val="24"/>
          <w:szCs w:val="24"/>
          <w:highlight w:val="none"/>
          <w:lang w:val="en-US" w:eastAsia="zh-CN"/>
        </w:rPr>
      </w:pPr>
      <w:r>
        <w:rPr>
          <w:rFonts w:hint="eastAsia" w:ascii="微软雅黑" w:hAnsi="微软雅黑" w:eastAsia="微软雅黑" w:cs="微软雅黑"/>
          <w:color w:val="2C2C2C"/>
          <w:sz w:val="24"/>
          <w:szCs w:val="24"/>
          <w:highlight w:val="none"/>
          <w:lang w:val="en-US" w:eastAsia="zh-CN"/>
        </w:rPr>
        <w:t xml:space="preserve">本案的争议焦点为：邓某生与林口某银行间的案涉债务是否具有诉讼时效中断的情形，以及担保人白某柱应否继续承担担保责任。 </w:t>
      </w:r>
    </w:p>
    <w:p w14:paraId="41057976">
      <w:pPr>
        <w:spacing w:after="120" w:line="360" w:lineRule="auto"/>
        <w:ind w:firstLine="480"/>
        <w:rPr>
          <w:rFonts w:hint="eastAsia" w:ascii="微软雅黑" w:hAnsi="微软雅黑" w:eastAsia="微软雅黑" w:cs="微软雅黑"/>
          <w:color w:val="2C2C2C"/>
          <w:sz w:val="24"/>
          <w:szCs w:val="24"/>
          <w:highlight w:val="none"/>
          <w:lang w:val="en-US" w:eastAsia="zh-CN"/>
        </w:rPr>
      </w:pPr>
      <w:r>
        <w:rPr>
          <w:rFonts w:hint="eastAsia" w:ascii="微软雅黑" w:hAnsi="微软雅黑" w:eastAsia="微软雅黑" w:cs="微软雅黑"/>
          <w:color w:val="2C2C2C"/>
          <w:sz w:val="24"/>
          <w:szCs w:val="24"/>
          <w:highlight w:val="none"/>
          <w:lang w:val="en-US" w:eastAsia="zh-CN"/>
        </w:rPr>
        <w:t xml:space="preserve">其一，林口某银行是否在诉讼时效内向邓某生主张债权，本案是否具有诉讼时效中断的情形，应当由林口某银行承担举证责任。本案中，自2008年12月28日案涉贷款逾期后，林口某银行在诉讼时效期限内于2011年7月26日提起诉讼。林口县人民法院于2014年11月10日向林口某银行送达民事判决书，案涉贷款应自该判决书送达之日起重新起算诉讼时效期间。林口某银行在本案诉讼中举示的三份证据，拟证实案涉贷款诉讼时效存在中断情形：1.2018年1月24日由邓某生妻子洪某凤签字按印的到逾期贷款催收通知单；2.2019年9月27日向邓某生本人当面催款；3.2017年12月通过登报公告方式向邓某生催收贷款。上述三份证据均已超过案涉贷款诉讼时效届满之日，即2016年11月10日。依据《最高人民法院关于审理民事案件适用诉讼时效制度若干问题的规定》第二十二条以及《关于超过诉讼时效期间借款人在催款通知单上签字或者盖章的法律效力问题的批复》的规定，诉讼时效届满后债务人在催收通知单签字或盖章的行为，应视为对原债务的重新确认，故原审判决认定债务人邓某生应承担还款责任并无不当。 </w:t>
      </w:r>
    </w:p>
    <w:p w14:paraId="0903B87A">
      <w:pPr>
        <w:spacing w:after="120" w:line="360" w:lineRule="auto"/>
        <w:ind w:firstLine="480"/>
        <w:rPr>
          <w:rFonts w:hint="eastAsia" w:ascii="微软雅黑" w:hAnsi="微软雅黑" w:eastAsia="微软雅黑" w:cs="微软雅黑"/>
          <w:color w:val="2C2C2C"/>
          <w:sz w:val="24"/>
          <w:szCs w:val="24"/>
          <w:highlight w:val="none"/>
          <w:lang w:val="en-US" w:eastAsia="zh-CN"/>
        </w:rPr>
      </w:pPr>
      <w:r>
        <w:rPr>
          <w:rFonts w:hint="eastAsia" w:ascii="微软雅黑" w:hAnsi="微软雅黑" w:eastAsia="微软雅黑" w:cs="微软雅黑"/>
          <w:color w:val="2C2C2C"/>
          <w:sz w:val="24"/>
          <w:szCs w:val="24"/>
          <w:highlight w:val="none"/>
          <w:lang w:val="en-US" w:eastAsia="zh-CN"/>
        </w:rPr>
        <w:t xml:space="preserve">其二，关于担保人白某柱应否继续承担担保责任的问题。白某柱系为2007年12月29日邓某生与林口某银行签订借款合同提供抵押担保，林口某银行超过诉讼时效后向邓某生催收，邓某生的妻子在催收通知签字盖章的行为虽可认定邓某生放弃诉讼时效抗辩权，但担保人白某柱基于担保合同亦享有诉讼时效抗辩权。林口某银行未提交证据证实已向白某柱进行催收，债务人邓某生放弃诉讼时效抗辩权并不能否定担保人白某柱诉讼时效抗辩权。因白某柱一审诉讼时已行使诉讼时效抗辩权，林口某银行提起本案诉讼时已超过诉讼时效，故白某柱无需承担担保责任。原审判决认定白某柱应在抵押财产范围内承担责任错误，再审依法应予纠正。 </w:t>
      </w:r>
    </w:p>
    <w:p w14:paraId="0C33563B">
      <w:pPr>
        <w:spacing w:after="120" w:line="360" w:lineRule="auto"/>
        <w:ind w:firstLine="480"/>
        <w:rPr>
          <w:rFonts w:hint="eastAsia" w:ascii="微软雅黑" w:hAnsi="微软雅黑" w:eastAsia="微软雅黑" w:cs="微软雅黑"/>
          <w:b/>
          <w:bCs/>
          <w:color w:val="2C2C2C"/>
          <w:sz w:val="24"/>
          <w:szCs w:val="24"/>
          <w:highlight w:val="none"/>
          <w:lang w:val="en-US" w:eastAsia="zh-CN"/>
        </w:rPr>
      </w:pPr>
      <w:r>
        <w:rPr>
          <w:rFonts w:hint="eastAsia" w:ascii="微软雅黑" w:hAnsi="微软雅黑" w:eastAsia="微软雅黑" w:cs="微软雅黑"/>
          <w:b/>
          <w:bCs/>
          <w:color w:val="2C2C2C"/>
          <w:sz w:val="24"/>
          <w:szCs w:val="24"/>
          <w:highlight w:val="none"/>
          <w:lang w:val="en-US" w:eastAsia="zh-CN"/>
        </w:rPr>
        <w:t xml:space="preserve">关联索引 </w:t>
      </w:r>
    </w:p>
    <w:p w14:paraId="3B6CFAFC">
      <w:pPr>
        <w:spacing w:after="120" w:line="360" w:lineRule="auto"/>
        <w:ind w:firstLine="480"/>
        <w:rPr>
          <w:rFonts w:hint="eastAsia" w:ascii="微软雅黑" w:hAnsi="微软雅黑" w:eastAsia="微软雅黑" w:cs="微软雅黑"/>
          <w:color w:val="2C2C2C"/>
          <w:sz w:val="24"/>
          <w:szCs w:val="24"/>
          <w:highlight w:val="none"/>
          <w:lang w:val="en-US" w:eastAsia="zh-CN"/>
        </w:rPr>
      </w:pPr>
      <w:r>
        <w:rPr>
          <w:rFonts w:hint="eastAsia" w:ascii="微软雅黑" w:hAnsi="微软雅黑" w:eastAsia="微软雅黑" w:cs="微软雅黑"/>
          <w:color w:val="2C2C2C"/>
          <w:sz w:val="24"/>
          <w:szCs w:val="24"/>
          <w:highlight w:val="none"/>
          <w:lang w:val="en-US" w:eastAsia="zh-CN"/>
        </w:rPr>
        <w:t xml:space="preserve">《中华人民共和国民法典》第419条（本案适用的是2007年10月1日施行的《中华人民共和国物权法》第202条） </w:t>
      </w:r>
    </w:p>
    <w:p w14:paraId="3F449895">
      <w:pPr>
        <w:spacing w:after="120" w:line="360" w:lineRule="auto"/>
        <w:ind w:firstLine="480"/>
        <w:rPr>
          <w:rFonts w:hint="eastAsia" w:ascii="微软雅黑" w:hAnsi="微软雅黑" w:eastAsia="微软雅黑" w:cs="微软雅黑"/>
          <w:color w:val="2C2C2C"/>
          <w:sz w:val="24"/>
          <w:szCs w:val="24"/>
          <w:highlight w:val="none"/>
          <w:lang w:val="en-US" w:eastAsia="zh-CN"/>
        </w:rPr>
      </w:pPr>
      <w:r>
        <w:rPr>
          <w:rFonts w:hint="eastAsia" w:ascii="微软雅黑" w:hAnsi="微软雅黑" w:eastAsia="微软雅黑" w:cs="微软雅黑"/>
          <w:color w:val="2C2C2C"/>
          <w:sz w:val="24"/>
          <w:szCs w:val="24"/>
          <w:highlight w:val="none"/>
          <w:lang w:val="en-US" w:eastAsia="zh-CN"/>
        </w:rPr>
        <w:t xml:space="preserve">《最高人民法院关于审理民事案件适用诉讼时效制度若干问题的规定》（法释〔2008〕11号，2020年修正）第19条（本案适用的是2008年9月1日施行的《最高人民法院关于审理民事案件适用诉讼时效制度若干问题的规定》第22条） </w:t>
      </w:r>
    </w:p>
    <w:p w14:paraId="32BC857F">
      <w:pPr>
        <w:spacing w:after="120" w:line="360" w:lineRule="auto"/>
        <w:ind w:firstLine="480"/>
        <w:rPr>
          <w:rFonts w:hint="eastAsia" w:ascii="微软雅黑" w:hAnsi="微软雅黑" w:eastAsia="微软雅黑" w:cs="微软雅黑"/>
          <w:color w:val="2C2C2C"/>
          <w:sz w:val="24"/>
          <w:szCs w:val="24"/>
          <w:highlight w:val="none"/>
          <w:lang w:val="en-US" w:eastAsia="zh-CN"/>
        </w:rPr>
      </w:pPr>
      <w:r>
        <w:rPr>
          <w:rFonts w:hint="eastAsia" w:ascii="微软雅黑" w:hAnsi="微软雅黑" w:eastAsia="微软雅黑" w:cs="微软雅黑"/>
          <w:color w:val="2C2C2C"/>
          <w:sz w:val="24"/>
          <w:szCs w:val="24"/>
          <w:highlight w:val="none"/>
          <w:lang w:val="en-US" w:eastAsia="zh-CN"/>
        </w:rPr>
        <w:t xml:space="preserve">《关于超过诉讼时效期间借款人在催款通知单上签字或者盖章的法律效力问题的批复》（法释〔1999〕7号） </w:t>
      </w:r>
    </w:p>
    <w:p w14:paraId="23F08F26">
      <w:pPr>
        <w:spacing w:after="120" w:line="360" w:lineRule="auto"/>
        <w:ind w:firstLine="480"/>
        <w:rPr>
          <w:rFonts w:hint="eastAsia" w:ascii="微软雅黑" w:hAnsi="微软雅黑" w:eastAsia="微软雅黑" w:cs="微软雅黑"/>
          <w:color w:val="2C2C2C"/>
          <w:sz w:val="24"/>
          <w:szCs w:val="24"/>
          <w:highlight w:val="none"/>
          <w:lang w:val="en-US" w:eastAsia="zh-CN"/>
        </w:rPr>
      </w:pPr>
      <w:r>
        <w:rPr>
          <w:rFonts w:hint="eastAsia" w:ascii="微软雅黑" w:hAnsi="微软雅黑" w:eastAsia="微软雅黑" w:cs="微软雅黑"/>
          <w:color w:val="2C2C2C"/>
          <w:sz w:val="24"/>
          <w:szCs w:val="24"/>
          <w:highlight w:val="none"/>
          <w:lang w:val="en-US" w:eastAsia="zh-CN"/>
        </w:rPr>
        <w:t xml:space="preserve">一审： 黑龙江省林口县人民法院（2019）黑1025民初1551号民事判决（2019年12月27日） </w:t>
      </w:r>
    </w:p>
    <w:p w14:paraId="102A78B3">
      <w:pPr>
        <w:spacing w:after="120" w:line="360" w:lineRule="auto"/>
        <w:ind w:firstLine="480"/>
        <w:rPr>
          <w:rFonts w:hint="eastAsia" w:ascii="微软雅黑" w:hAnsi="微软雅黑" w:eastAsia="微软雅黑" w:cs="微软雅黑"/>
          <w:color w:val="2C2C2C"/>
          <w:sz w:val="24"/>
          <w:szCs w:val="24"/>
          <w:highlight w:val="none"/>
          <w:lang w:val="en-US" w:eastAsia="zh-CN"/>
        </w:rPr>
      </w:pPr>
      <w:r>
        <w:rPr>
          <w:rFonts w:hint="eastAsia" w:ascii="微软雅黑" w:hAnsi="微软雅黑" w:eastAsia="微软雅黑" w:cs="微软雅黑"/>
          <w:color w:val="2C2C2C"/>
          <w:sz w:val="24"/>
          <w:szCs w:val="24"/>
          <w:highlight w:val="none"/>
          <w:lang w:val="en-US" w:eastAsia="zh-CN"/>
        </w:rPr>
        <w:t xml:space="preserve">二审：黑龙江省牡丹江市中级人民法院（2020）黑10民终703号民事判决（2020年9月24日） </w:t>
      </w:r>
    </w:p>
    <w:p w14:paraId="0CDDEBB4">
      <w:pPr>
        <w:spacing w:after="120" w:line="360" w:lineRule="auto"/>
        <w:ind w:firstLine="480"/>
        <w:rPr>
          <w:rFonts w:hint="eastAsia" w:ascii="微软雅黑" w:hAnsi="微软雅黑" w:eastAsia="微软雅黑" w:cs="微软雅黑"/>
          <w:color w:val="2C2C2C"/>
          <w:sz w:val="24"/>
          <w:szCs w:val="24"/>
          <w:highlight w:val="none"/>
          <w:lang w:val="en-US" w:eastAsia="zh-CN"/>
        </w:rPr>
      </w:pPr>
      <w:r>
        <w:rPr>
          <w:rFonts w:hint="eastAsia" w:ascii="微软雅黑" w:hAnsi="微软雅黑" w:eastAsia="微软雅黑" w:cs="微软雅黑"/>
          <w:color w:val="2C2C2C"/>
          <w:sz w:val="24"/>
          <w:szCs w:val="24"/>
          <w:highlight w:val="none"/>
          <w:lang w:val="en-US" w:eastAsia="zh-CN"/>
        </w:rPr>
        <w:t xml:space="preserve">再审：黑龙江省高级人民法院（2023）黑民再151号民事判决（2023年11月10日） </w:t>
      </w:r>
    </w:p>
    <w:p w14:paraId="1474E0B5">
      <w:pPr>
        <w:spacing w:after="120" w:line="360" w:lineRule="auto"/>
        <w:ind w:firstLine="480"/>
        <w:rPr>
          <w:rFonts w:hint="eastAsia" w:ascii="微软雅黑" w:hAnsi="微软雅黑" w:eastAsia="微软雅黑" w:cs="微软雅黑"/>
          <w:color w:val="2C2C2C"/>
          <w:sz w:val="24"/>
          <w:szCs w:val="24"/>
          <w:highlight w:val="none"/>
          <w:lang w:val="en-US" w:eastAsia="zh-CN"/>
        </w:rPr>
      </w:pPr>
    </w:p>
    <w:p w14:paraId="68C13183">
      <w:pPr>
        <w:spacing w:after="120" w:line="360" w:lineRule="auto"/>
        <w:rPr>
          <w:rFonts w:ascii="微软雅黑" w:hAnsi="微软雅黑" w:eastAsia="微软雅黑" w:cs="微软雅黑"/>
          <w:color w:val="2C2C2C"/>
          <w:sz w:val="21"/>
          <w:szCs w:val="21"/>
        </w:rPr>
      </w:pPr>
    </w:p>
    <w:p w14:paraId="0F14BB1A">
      <w:pPr>
        <w:spacing w:after="120" w:line="360" w:lineRule="auto"/>
        <w:rPr>
          <w:rFonts w:ascii="微软雅黑" w:hAnsi="微软雅黑" w:eastAsia="微软雅黑" w:cs="微软雅黑"/>
          <w:color w:val="2C2C2C"/>
          <w:sz w:val="21"/>
          <w:szCs w:val="21"/>
        </w:rPr>
      </w:pPr>
    </w:p>
    <w:p w14:paraId="0E1F4C87">
      <w:pPr>
        <w:spacing w:after="120" w:line="360" w:lineRule="auto"/>
        <w:rPr>
          <w:rFonts w:ascii="微软雅黑" w:hAnsi="微软雅黑" w:eastAsia="微软雅黑" w:cs="微软雅黑"/>
          <w:color w:val="2C2C2C"/>
          <w:sz w:val="21"/>
          <w:szCs w:val="21"/>
        </w:rPr>
      </w:pPr>
    </w:p>
    <w:p w14:paraId="47F685E5">
      <w:pPr>
        <w:spacing w:after="120" w:line="360" w:lineRule="auto"/>
        <w:rPr>
          <w:rFonts w:ascii="微软雅黑" w:hAnsi="微软雅黑" w:eastAsia="微软雅黑" w:cs="微软雅黑"/>
          <w:color w:val="2C2C2C"/>
          <w:sz w:val="21"/>
          <w:szCs w:val="21"/>
        </w:rPr>
      </w:pPr>
    </w:p>
    <w:p w14:paraId="69721ED5">
      <w:pPr>
        <w:spacing w:after="120" w:line="360" w:lineRule="auto"/>
        <w:rPr>
          <w:rFonts w:ascii="微软雅黑" w:hAnsi="微软雅黑" w:eastAsia="微软雅黑" w:cs="微软雅黑"/>
          <w:color w:val="2C2C2C"/>
          <w:sz w:val="21"/>
          <w:szCs w:val="21"/>
        </w:rPr>
      </w:pPr>
    </w:p>
    <w:p w14:paraId="25F47EEC">
      <w:pPr>
        <w:spacing w:after="120" w:line="360" w:lineRule="auto"/>
        <w:rPr>
          <w:rFonts w:ascii="微软雅黑" w:hAnsi="微软雅黑" w:eastAsia="微软雅黑" w:cs="微软雅黑"/>
          <w:color w:val="2C2C2C"/>
          <w:sz w:val="21"/>
          <w:szCs w:val="21"/>
        </w:rPr>
      </w:pPr>
    </w:p>
    <w:p w14:paraId="0B246C15">
      <w:pPr>
        <w:spacing w:after="120" w:line="360" w:lineRule="auto"/>
        <w:rPr>
          <w:rFonts w:ascii="微软雅黑" w:hAnsi="微软雅黑" w:eastAsia="微软雅黑" w:cs="微软雅黑"/>
          <w:b/>
          <w:bCs/>
          <w:color w:val="2C2C2C"/>
          <w:sz w:val="21"/>
          <w:szCs w:val="21"/>
        </w:rPr>
      </w:pPr>
    </w:p>
    <w:p w14:paraId="6414E6B0">
      <w:pPr>
        <w:spacing w:after="120" w:line="360" w:lineRule="auto"/>
        <w:rPr>
          <w:rFonts w:ascii="微软雅黑" w:hAnsi="微软雅黑" w:eastAsia="微软雅黑" w:cs="微软雅黑"/>
          <w:b/>
          <w:bCs/>
          <w:color w:val="2C2C2C"/>
          <w:sz w:val="21"/>
          <w:szCs w:val="21"/>
        </w:rPr>
      </w:pPr>
    </w:p>
    <w:p w14:paraId="5F3DBC1A">
      <w:pPr>
        <w:spacing w:after="120" w:line="360" w:lineRule="auto"/>
        <w:rPr>
          <w:rFonts w:ascii="微软雅黑" w:hAnsi="微软雅黑" w:eastAsia="微软雅黑" w:cs="微软雅黑"/>
          <w:b/>
          <w:bCs/>
          <w:color w:val="2C2C2C"/>
          <w:sz w:val="21"/>
          <w:szCs w:val="21"/>
        </w:rPr>
      </w:pPr>
    </w:p>
    <w:p w14:paraId="0AA3A00F">
      <w:pPr>
        <w:spacing w:after="120" w:line="360" w:lineRule="auto"/>
        <w:rPr>
          <w:rFonts w:ascii="微软雅黑" w:hAnsi="微软雅黑" w:eastAsia="微软雅黑" w:cs="微软雅黑"/>
          <w:b/>
          <w:bCs/>
          <w:color w:val="2C2C2C"/>
          <w:sz w:val="21"/>
          <w:szCs w:val="21"/>
        </w:rPr>
      </w:pPr>
    </w:p>
    <w:p w14:paraId="552351C3">
      <w:pPr>
        <w:spacing w:after="120" w:line="360" w:lineRule="auto"/>
        <w:rPr>
          <w:rFonts w:ascii="微软雅黑" w:hAnsi="微软雅黑" w:eastAsia="微软雅黑" w:cs="微软雅黑"/>
          <w:b/>
          <w:bCs/>
          <w:color w:val="2C2C2C"/>
          <w:sz w:val="21"/>
          <w:szCs w:val="21"/>
        </w:rPr>
      </w:pPr>
    </w:p>
    <w:p w14:paraId="45F014BE">
      <w:pPr>
        <w:spacing w:after="120" w:line="360" w:lineRule="auto"/>
        <w:rPr>
          <w:rFonts w:ascii="微软雅黑" w:hAnsi="微软雅黑" w:eastAsia="微软雅黑" w:cs="微软雅黑"/>
          <w:b/>
          <w:bCs/>
          <w:color w:val="2C2C2C"/>
          <w:sz w:val="21"/>
          <w:szCs w:val="21"/>
        </w:rPr>
      </w:pPr>
    </w:p>
    <w:p w14:paraId="4659CB71">
      <w:pPr>
        <w:spacing w:after="120" w:line="360" w:lineRule="auto"/>
        <w:rPr>
          <w:rFonts w:ascii="微软雅黑" w:hAnsi="微软雅黑" w:eastAsia="微软雅黑" w:cs="微软雅黑"/>
          <w:b/>
          <w:bCs/>
          <w:color w:val="2C2C2C"/>
          <w:sz w:val="21"/>
          <w:szCs w:val="21"/>
        </w:rPr>
      </w:pPr>
    </w:p>
    <w:p w14:paraId="4CEAFCEC">
      <w:pPr>
        <w:spacing w:after="120" w:line="360" w:lineRule="auto"/>
        <w:rPr>
          <w:rFonts w:ascii="微软雅黑" w:hAnsi="微软雅黑" w:eastAsia="微软雅黑" w:cs="微软雅黑"/>
          <w:b/>
          <w:bCs/>
          <w:color w:val="2C2C2C"/>
          <w:sz w:val="21"/>
          <w:szCs w:val="21"/>
        </w:rPr>
      </w:pPr>
    </w:p>
    <w:p w14:paraId="74B5CD87">
      <w:pPr>
        <w:spacing w:after="120" w:line="360" w:lineRule="auto"/>
        <w:rPr>
          <w:rFonts w:ascii="微软雅黑" w:hAnsi="微软雅黑" w:eastAsia="微软雅黑" w:cs="微软雅黑"/>
          <w:b/>
          <w:bCs/>
          <w:color w:val="2C2C2C"/>
          <w:sz w:val="21"/>
          <w:szCs w:val="21"/>
        </w:rPr>
      </w:pPr>
    </w:p>
    <w:p w14:paraId="07B9D83E">
      <w:pPr>
        <w:pStyle w:val="4"/>
        <w:keepNext/>
        <w:keepLines/>
        <w:spacing w:before="400" w:after="200"/>
      </w:pPr>
      <w:r>
        <w:rPr>
          <w:rFonts w:ascii="黑体" w:hAnsi="黑体" w:eastAsia="黑体" w:cs="黑体"/>
          <w:b/>
          <w:bCs/>
          <w:color w:val="1B3A5C"/>
          <w:sz w:val="26"/>
          <w:szCs w:val="26"/>
        </w:rPr>
        <w:t>保险合同纠纷典型案例</w:t>
      </w:r>
    </w:p>
    <w:p w14:paraId="493D1860">
      <w:pPr>
        <w:spacing w:after="120" w:line="360" w:lineRule="auto"/>
        <w:jc w:val="center"/>
        <w:rPr>
          <w:rFonts w:hint="eastAsia" w:ascii="微软雅黑" w:hAnsi="微软雅黑" w:eastAsia="微软雅黑" w:cs="微软雅黑"/>
          <w:b/>
          <w:bCs/>
          <w:color w:val="2C2C2C"/>
          <w:sz w:val="24"/>
          <w:szCs w:val="24"/>
          <w:lang w:val="en-US" w:eastAsia="zh-CN"/>
        </w:rPr>
      </w:pPr>
      <w:r>
        <w:rPr>
          <w:rFonts w:hint="eastAsia" w:ascii="微软雅黑" w:hAnsi="微软雅黑" w:eastAsia="微软雅黑" w:cs="微软雅黑"/>
          <w:b/>
          <w:bCs/>
          <w:color w:val="2C2C2C"/>
          <w:sz w:val="24"/>
          <w:szCs w:val="24"/>
          <w:lang w:val="en-US" w:eastAsia="zh-CN"/>
        </w:rPr>
        <w:t>1.王某龙诉天津某保险公司人身保险合同纠纷案</w:t>
      </w:r>
    </w:p>
    <w:p w14:paraId="6BC805BE">
      <w:pPr>
        <w:spacing w:after="120" w:line="360" w:lineRule="auto"/>
        <w:jc w:val="center"/>
        <w:rPr>
          <w:rFonts w:hint="eastAsia" w:ascii="微软雅黑" w:hAnsi="微软雅黑" w:eastAsia="微软雅黑" w:cs="微软雅黑"/>
          <w:b/>
          <w:bCs/>
          <w:color w:val="2C2C2C"/>
          <w:sz w:val="24"/>
          <w:szCs w:val="24"/>
          <w:lang w:val="en-US" w:eastAsia="zh-CN"/>
        </w:rPr>
      </w:pPr>
      <w:r>
        <w:rPr>
          <w:rFonts w:hint="eastAsia" w:ascii="微软雅黑" w:hAnsi="微软雅黑" w:eastAsia="微软雅黑" w:cs="微软雅黑"/>
          <w:b/>
          <w:bCs/>
          <w:color w:val="2C2C2C"/>
          <w:sz w:val="24"/>
          <w:szCs w:val="24"/>
          <w:lang w:val="en-US" w:eastAsia="zh-CN"/>
        </w:rPr>
        <w:t>——投保人故意未履行如实告知义务的认定</w:t>
      </w:r>
    </w:p>
    <w:p w14:paraId="7324CD46">
      <w:pPr>
        <w:spacing w:after="120" w:line="360" w:lineRule="auto"/>
        <w:jc w:val="right"/>
        <w:rPr>
          <w:rFonts w:hint="eastAsia"/>
          <w:sz w:val="24"/>
          <w:szCs w:val="24"/>
          <w:lang w:val="en-US" w:eastAsia="zh-CN"/>
        </w:rPr>
      </w:pPr>
      <w:r>
        <w:rPr>
          <w:sz w:val="24"/>
          <w:szCs w:val="24"/>
          <w:lang w:val="en-US" w:eastAsia="zh-CN"/>
        </w:rPr>
        <w:t>D2026-161-1-103-518</w:t>
      </w:r>
    </w:p>
    <w:p w14:paraId="77097AFE">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裁判要旨</w:t>
      </w:r>
    </w:p>
    <w:p w14:paraId="0C5DC2F9">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在投保与疾病相关的险种时，保险人询问被保险人身体情况时所使用的疾病名称与医院诊断结果中常用的名称一致时，可以认定为该询问具体而明确。若投保人的就医诊断结果或体检报告结论中记载的事项与前述询问内容相关，但投保人不如实向保险人说明的，可以认定投保人未履行如实告知义务。</w:t>
      </w:r>
    </w:p>
    <w:p w14:paraId="404BE535">
      <w:pPr>
        <w:spacing w:after="120" w:line="360" w:lineRule="auto"/>
        <w:ind w:firstLine="480"/>
        <w:rPr>
          <w:rFonts w:hint="default" w:ascii="微软雅黑" w:hAnsi="微软雅黑" w:eastAsia="微软雅黑" w:cs="微软雅黑"/>
          <w:b/>
          <w:bCs/>
          <w:color w:val="2C2C2C"/>
          <w:sz w:val="24"/>
          <w:szCs w:val="24"/>
          <w:lang w:val="en-US" w:eastAsia="zh-CN"/>
        </w:rPr>
      </w:pPr>
      <w:r>
        <w:rPr>
          <w:rFonts w:hint="eastAsia" w:cs="微软雅黑"/>
          <w:b/>
          <w:bCs/>
          <w:color w:val="2C2C2C"/>
          <w:sz w:val="24"/>
          <w:szCs w:val="24"/>
          <w:lang w:val="en-US" w:eastAsia="zh-CN"/>
        </w:rPr>
        <w:t>基本案情</w:t>
      </w:r>
    </w:p>
    <w:p w14:paraId="16F31D99">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原告王某龙诉称：王某龙为自己在天津某保险公司投保了人身保险。保险期间内，王某龙确诊患甲状腺乳头状癌。按照保险合同约定，天津某保险公司应向王某龙给付首次重大疾病保险金人民币500000元（币种下同）和住院关爱津贴保险金5500元，并豁免保险费。天津某保险公司以“故意不履行如实告知义务”为由解除合同，不给付保险金。遂诉至法院，请求判令：1.天津某保险公司向王某龙给付首次重大疾病保险金500000元和住院关爱津贴保险金5500元；2.确认天津某保险公司解除保险合同行为无效，继续履行该合同并豁免该合同后续各期保险费。</w:t>
      </w:r>
    </w:p>
    <w:p w14:paraId="329EEF0F">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被告天津某保险公司辩称：原告王某龙在投保时对自己患有甲状腺等多种疾病以及自己的同业投保情况均没有如实告知，且患病和同业投保情况都足以影响核保结论。天津某保险公司拒绝理赔、解除合同并不予退还保费的行为并无不当。</w:t>
      </w:r>
    </w:p>
    <w:p w14:paraId="7FB500F3">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法院经审理查明：2020年9月，王某龙在天津某保险公司投保人身保险。在保险合同《个人情况告知书》第6项“您是否患有不明性质的肿瘤/包块/结节或肿物......”，以及第7项“您是否患有或被怀疑患有甲状腺疾病</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rPr>
        <w:t>”中，王某龙均勾选“否”。天津某保险公司对甲状腺结节的核保结论为除外或延期。保险期间内，王某龙确诊患甲状腺乳头状癌。王某龙于2022年4月12日向天津某保险公司申请理赔。在核赔期间内 ,天津某保险公司经调查了解到王某龙于2017年10月进行了体检，其体检报告载明“超声检查项目显示：甲状腺右侧叶见边界尚清晰的单发结节，大小约1.0×1.0cm,CDFI：血流未见明显异常。”2022年5月7日，天津某保险公司以“故意不履行如实告知义务”为由解除合同，并不给付保险金。此外，王某龙曾是另一人寿保险公司的从业人员。2019年10月至2020年10月期间，王某龙在包含本案天津某保险公司在内的七家保险公司共投保九份重疾险，累计保险金额2490000元。王某龙在庭审过程中认可投保之前知道自己患有甲状腺结节，且投保时未告知天津某保险公司，投保过程系其本人操作。</w:t>
      </w:r>
    </w:p>
    <w:p w14:paraId="2AA939CA">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天津铁路运输法院于2023年5月24日作出（2023）津8601民初753号民事判决：驳回原告王某龙的全部诉讼请求。宣判后，王某龙不服，提起上诉。天津市第一中级人民法院于2023年10月13日作出（2023）津01民终7819号民事判决：驳回上诉，维持原判。</w:t>
      </w:r>
    </w:p>
    <w:p w14:paraId="57FD52EC">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裁判理由</w:t>
      </w:r>
    </w:p>
    <w:p w14:paraId="02485A6C">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本案的争议焦点有二：一是王某龙是否履行了如实告知义务；二是天津某保险公司解除案涉保险合同的行为是否有效。</w:t>
      </w:r>
    </w:p>
    <w:p w14:paraId="06876072">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一、王某龙是否履行了如实告知义务</w:t>
      </w:r>
    </w:p>
    <w:p w14:paraId="6A933B6E">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第一，关于天津某保险公司的询问是否具体明确。《最高人民法院关于适用&lt;中华人民共和国保险法&gt;若干问题的解释（二）》第六条第一项规定：“投保人的告知义务限于保险人询问的范围和内容。当事人对询问范围及内容有争议的，保险人负举证责任。”天津某保险公司提交的保险合同中含有《个人情况告知书》，其中第6项“您是否患有或被怀疑患有癌症、白血病、淋巴瘤、不明性质的肿瘤/包块/结节或肿物</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rPr>
        <w:t>”,第7项“您是否患有或被怀疑患有高血压、心脏病、脑血管病</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rPr>
        <w:t>甲状腺疾病</w:t>
      </w:r>
      <w:r>
        <w:rPr>
          <w:rFonts w:hint="eastAsia" w:cs="微软雅黑"/>
          <w:color w:val="2C2C2C"/>
          <w:sz w:val="24"/>
          <w:szCs w:val="24"/>
          <w:lang w:val="en-US" w:eastAsia="zh-CN"/>
        </w:rPr>
        <w:t>......</w:t>
      </w:r>
      <w:r>
        <w:rPr>
          <w:rFonts w:hint="eastAsia" w:ascii="微软雅黑" w:hAnsi="微软雅黑" w:eastAsia="微软雅黑" w:cs="微软雅黑"/>
          <w:color w:val="2C2C2C"/>
          <w:sz w:val="24"/>
          <w:szCs w:val="24"/>
        </w:rPr>
        <w:t xml:space="preserve"> ”。故可以认定天津某保险公司的询问具体明确。</w:t>
      </w:r>
    </w:p>
    <w:p w14:paraId="6174D544">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第二，关于王某龙是否履行了如实告知义务。根据保险法第十六条第一项规定：“订立保险合同，保险人就保险标的或者被保险人的有关情况提出询问的，投保人应当如实告知。”保险合同订立时，投保人明知与保险标的或者被保险人有关的情况，属于投保人“应当如实告知”的内容。本案中，王某龙认可投保之前知道自己患有甲状腺结节，且投保时未告知天津某保险公司，在上述询问对应的被保险人和投保人处均勾选为“否”，投保过程系其本人操作。故可以认定王某龙在投保时未就保险公司的健康询问进行如实告知。</w:t>
      </w:r>
    </w:p>
    <w:p w14:paraId="720EE966">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第三，关于王某龙未履行如实告知义务是否存在故意。王某龙具有保险从业经历，其在明知自己存在甲状腺结节的情况下，短期内在多家保险公司投保多份重疾保险，累计保险金额近2500000元。王某龙仅交纳一期保险费，便确诊患甲状腺乳头状癌。综上，审理法院认定王某龙未如实告知自己患有甲状腺结节的情况系故意。</w:t>
      </w:r>
    </w:p>
    <w:p w14:paraId="10F0D466">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二、天津某保险公司解除案涉保险合同的行为是否有效</w:t>
      </w:r>
    </w:p>
    <w:p w14:paraId="288FF2BD">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第一，王某龙未如实告知的事项是否足以影响保险人决定是否同意承保或者提高保险费率。保险合同是射幸合同。保险公司在承保人身保险时会对被保险人健康状况进行询问，从而评估承保风险。针对被保险人存在甲状腺结节的情况，天津某保险公司内部的核保结论为除外或延期。王某龙未向天津某保险公司未如实告知的行为，足以影响天津某保险公司决定是否同意承保。</w:t>
      </w:r>
    </w:p>
    <w:p w14:paraId="026C9C94">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第二，天津某保险公司是否在法定期限内行使合同解除权。根据保险法第十六条的规定，保险人因投保人未履行如实告知义务而获得的合同解除权， 自保险人知道有解除事由之日起，超过三十日不行使而消灭 ,自合同成立之日起超过二年的，保险人不得解除合同。王某龙于2022年4月12日向天津某保险公司申请理赔，后天津某保险公司得知王某龙在投保前有甲状腺结节并未如实告知，遂于三十日内解除保险</w:t>
      </w:r>
      <w:r>
        <w:rPr>
          <w:rFonts w:hint="eastAsia" w:cs="微软雅黑"/>
          <w:color w:val="2C2C2C"/>
          <w:sz w:val="24"/>
          <w:szCs w:val="24"/>
          <w:lang w:val="en-US" w:eastAsia="zh-CN"/>
        </w:rPr>
        <w:t>合同，</w:t>
      </w:r>
      <w:r>
        <w:rPr>
          <w:rFonts w:hint="eastAsia" w:ascii="微软雅黑" w:hAnsi="微软雅黑" w:eastAsia="微软雅黑" w:cs="微软雅黑"/>
          <w:color w:val="2C2C2C"/>
          <w:sz w:val="24"/>
          <w:szCs w:val="24"/>
        </w:rPr>
        <w:t>且该保险合同自成立起未超过两年，故天津某保险公司系在法定期限内行使了合同解除权，该解除合同的行为合法有效。</w:t>
      </w:r>
    </w:p>
    <w:p w14:paraId="0834F9A4">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关联索引</w:t>
      </w:r>
    </w:p>
    <w:p w14:paraId="568BB864">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《中华人民共和国保险法》第16条</w:t>
      </w:r>
    </w:p>
    <w:p w14:paraId="55358CDC">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《最高人民法院关于适用〈中华人民共和国保险法〉若干问题的解释（二）》（法释 [2013]14号 ，2020年修正）第6条</w:t>
      </w:r>
    </w:p>
    <w:p w14:paraId="2F393A28">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一审：天津铁路运输法院（2023）津8601民初753号民事判决（2023年5月24日）</w:t>
      </w:r>
    </w:p>
    <w:p w14:paraId="54E6EB9E">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二审：天津市第一中级人民法院（2023）津01民终7819号民事判决（2023年10月13日）</w:t>
      </w:r>
    </w:p>
    <w:p w14:paraId="5AE9F5C7">
      <w:pPr>
        <w:spacing w:after="120" w:line="360" w:lineRule="auto"/>
        <w:ind w:firstLine="480"/>
        <w:rPr>
          <w:rFonts w:hint="eastAsia" w:ascii="微软雅黑" w:hAnsi="微软雅黑" w:eastAsia="微软雅黑" w:cs="微软雅黑"/>
          <w:color w:val="2C2C2C"/>
          <w:sz w:val="24"/>
          <w:szCs w:val="24"/>
        </w:rPr>
      </w:pPr>
    </w:p>
    <w:p w14:paraId="67B0FB08">
      <w:pPr>
        <w:spacing w:after="120" w:line="360" w:lineRule="auto"/>
        <w:jc w:val="center"/>
        <w:rPr>
          <w:rFonts w:hint="eastAsia" w:ascii="微软雅黑" w:hAnsi="微软雅黑" w:eastAsia="微软雅黑" w:cs="微软雅黑"/>
          <w:b/>
          <w:bCs/>
          <w:color w:val="2C2C2C"/>
          <w:sz w:val="24"/>
          <w:szCs w:val="24"/>
        </w:rPr>
      </w:pPr>
      <w:r>
        <w:rPr>
          <w:rFonts w:hint="eastAsia" w:cs="微软雅黑"/>
          <w:b/>
          <w:bCs/>
          <w:color w:val="2C2C2C"/>
          <w:sz w:val="24"/>
          <w:szCs w:val="24"/>
          <w:lang w:val="en-US" w:eastAsia="zh-CN"/>
        </w:rPr>
        <w:t>2.</w:t>
      </w:r>
      <w:r>
        <w:rPr>
          <w:rFonts w:hint="eastAsia" w:ascii="微软雅黑" w:hAnsi="微软雅黑" w:eastAsia="微软雅黑" w:cs="微软雅黑"/>
          <w:b/>
          <w:bCs/>
          <w:color w:val="2C2C2C"/>
          <w:sz w:val="24"/>
          <w:szCs w:val="24"/>
        </w:rPr>
        <w:t>杜某荣、赵某洋等诉某财产保险公司人身保险合同纠纷案</w:t>
      </w:r>
    </w:p>
    <w:p w14:paraId="2A32ED98">
      <w:pPr>
        <w:spacing w:after="120" w:line="360" w:lineRule="auto"/>
        <w:ind w:firstLine="1201" w:firstLineChars="500"/>
        <w:jc w:val="both"/>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——意外伤害保险事故中对“非疾病”条款的理解和对“意外伤害”情形的认定</w:t>
      </w:r>
    </w:p>
    <w:p w14:paraId="33A6EFA1">
      <w:pPr>
        <w:spacing w:after="120" w:line="360" w:lineRule="auto"/>
        <w:ind w:firstLine="480"/>
        <w:jc w:val="right"/>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lang w:val="en-US" w:eastAsia="zh-CN"/>
        </w:rPr>
        <w:t>2025-08-2-334-001</w:t>
      </w:r>
    </w:p>
    <w:p w14:paraId="07A26D8A">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b/>
          <w:bCs/>
          <w:color w:val="2C2C2C"/>
          <w:sz w:val="24"/>
          <w:szCs w:val="24"/>
        </w:rPr>
        <w:t>裁判要旨</w:t>
      </w:r>
    </w:p>
    <w:p w14:paraId="7B65988E">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1.虽然意外伤害保险合同一般将“非疾病”作为认定意外伤害的要素之一，并将“疾病”导致的伤亡作为保险免责事由，但现代医学对疾病的定义仅是对人体正常形态与功能的偏离，故“疾病”并非意外伤害险的当然免责事由，认定意外伤害尚需结合案情具体分析。若被保险人伤亡的直接原因是高温工作环境引起体内热量过度积蓄，从而引发身体机能变化，则可认定中暑伤亡系由外来因素所致，具有外来性，伤亡结果亦具有突发性、不可预见性和非本意性，符合保险合同约定的“意外伤害”的情形。</w:t>
      </w:r>
    </w:p>
    <w:p w14:paraId="767594ED">
      <w:pPr>
        <w:spacing w:after="120" w:line="360" w:lineRule="auto"/>
        <w:ind w:firstLine="480"/>
        <w:rPr>
          <w:rFonts w:hint="eastAsia" w:ascii="微软雅黑" w:hAnsi="微软雅黑" w:eastAsia="微软雅黑" w:cs="微软雅黑"/>
          <w:color w:val="2C2C2C"/>
          <w:sz w:val="24"/>
          <w:szCs w:val="24"/>
          <w:lang w:val="en-US" w:eastAsia="zh-CN"/>
        </w:rPr>
      </w:pPr>
      <w:r>
        <w:rPr>
          <w:rFonts w:hint="eastAsia" w:ascii="微软雅黑" w:hAnsi="微软雅黑" w:eastAsia="微软雅黑" w:cs="微软雅黑"/>
          <w:color w:val="2C2C2C"/>
          <w:sz w:val="24"/>
          <w:szCs w:val="24"/>
        </w:rPr>
        <w:t>2.如果保险合同中的免责条款并未明确将中暑列入意外伤害的免责范围，也未对疾病的具体情形是否包含中暑作出解释、说明，则保险人不能以“疾病”免责条款作为拒赔的依据。</w:t>
      </w:r>
    </w:p>
    <w:p w14:paraId="1ACE4772">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b/>
          <w:bCs/>
          <w:color w:val="2C2C2C"/>
          <w:sz w:val="24"/>
          <w:szCs w:val="24"/>
        </w:rPr>
        <w:t>基本案情</w:t>
      </w:r>
    </w:p>
    <w:p w14:paraId="5B7CA9B7">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原告杜某荣、赵某洋、赵某雁、王某良诉称：被保险人赵某峰为某船舶工程有限公司的雇员，受公司委派在某造船有限公司从事船舶劳务施工。2019年8月1日，赵某峰在船舱内从事雇佣活动过程中因高温中暑  ,被发现后送医院经抢救无效死亡。2019年9月10日，某市人力资源和社会保障局作出《工伤认定书》,认定赵某峰于2019年8月1日受到的事故伤害为工亡。某船舶工程有限公司在赵某峰生前于被告某财产保险公司处投保了团体意外伤害保险，保险金额为人民币40万元（币种下同）。根据保险条款的约定，赵某峰系意外伤害死亡。根据保险法和保险合同的约定属于保险责任，某财产保险公司应当按照合同约定的标准足额支付保险金40万元，故诉至法院，请求法院判令：1.被告某财产保险公司支付原告杜某荣、赵某洋、赵某雁、王某良保险金40万元；2.本案诉讼费用由被告承担。</w:t>
      </w:r>
    </w:p>
    <w:p w14:paraId="6EBECDF8">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被告某财产保险公司辩称：对投保事实无异议，事故发生在保险期间内。死者赵某峰系被保险人，投保人是某船舶工程有限公司，保险种类为团体人身意外伤害保险。原告王某良是死者赵某峰的继父，请法庭审查其诉讼主体资格。死者赵某峰的死因是中暑，在医学上属于疾病</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并非意外，根据保险条款责任免除部分第6.4条，属于免责情况，被告不承担保险责任。</w:t>
      </w:r>
    </w:p>
    <w:p w14:paraId="18E37581">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法院经审理查明：赵某峰系杜某荣之子，系赵某洋和赵某雁的父亲。1994年5月2日，王某良与杜某荣登记结婚。</w:t>
      </w:r>
    </w:p>
    <w:p w14:paraId="75AAF753">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2019年2月15日，某财产保险公司出具团体人身意外伤害保险保险单 ,载明投保单位为某船舶工程有限公司，保险期间自2019年2月16日零时起至2020年2月15日二十四时止，承保方案A，条款名称为团体人身意外伤害保险，保险责任为意外身故、残疾、烧烫伤，投保人数48，无免赔额，每人保险金额40万元。后被告某财产保险公司出具批单，同意自2019年3月6日零时起，至2020年2月15日二十四时止，保险单内容变更如下：加收保费23358.33元，申请自2019年3月6日零时起，减少2人，增加41人，增加人数中含赵某峰，其他事项不变。</w:t>
      </w:r>
    </w:p>
    <w:p w14:paraId="25088788">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2019年8月1日13时30分左右，赵某峰在某造船有限公司场地工作时发现神志不清，经某市人民医院诊断为院前死亡。2019年9月10日，某市人力资源和社会保障局出具工伤认定决定书，认定赵某峰于2019年8月1日受到的事故伤害为工亡。</w:t>
      </w:r>
    </w:p>
    <w:p w14:paraId="77ABF511">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涉案团体人身意外伤害保险投保单中特别提示：请仔细阅读背面的保险条款，尤其是黑体字标准部分的条款内容。团体人身意外伤害保险条款第四条受益人约定：“本保险合同的受益人包括：（一）身故保险金受益人：……2.被保险人死亡后，有下列情形之一的，保险金作为被保险人的遗产，由保险人依照《中华人民共和国继承法》的规定履行给付保险金的义务：（1）没有指定受益人，或者受益人指定不明无法确定的……”团体人身意外伤害保险条款第五条有关身故保险责任约定为：“在保险期间内，被保险人遭受意外伤害事故，并自事故发生之日起 180日内因该事故的直接原因导致身故的，保险人按保险金额给付身故保险金，对该被保险人的保险责任终止。”责任免除部分第六条约定：“因下列原因造成被保险人身故、残疾或烧烫伤的，保险人不承担给付保险金责任……（四）被保险人因疾病、妊娠、流产、分娩、药物过敏所导致的……”保险条款释义部分约定：“意外伤害：指以外来的、突发的、非本意的和非疾病的客观事件为直接且单独的原因致使身体受到的伤害。”</w:t>
      </w:r>
    </w:p>
    <w:p w14:paraId="16B58545">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上海市浦东新区人民法院于2021年11月25日作出（2021）沪0115民初71463号民事判决：被告某财产保险公司应于本判决生效之日起十日内支付原告杜某荣、赵某洋、赵某雁、王某良保险金40万元。宣判后，被告某财产保险公司不服，提起上诉。上海金融法院于2022年8月12日作出（2022）沪74民终737号民事判决：驳回上诉，维持原判。</w:t>
      </w:r>
    </w:p>
    <w:p w14:paraId="6DB188F0">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b/>
          <w:bCs/>
          <w:color w:val="2C2C2C"/>
          <w:sz w:val="24"/>
          <w:szCs w:val="24"/>
        </w:rPr>
        <w:t>裁判理由</w:t>
      </w:r>
    </w:p>
    <w:p w14:paraId="22C1749F">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本案主要争议焦点为：被告是否应当对被保险人赵某峰的死亡承担团体人身意外伤害保险</w:t>
      </w:r>
      <w:r>
        <w:rPr>
          <w:rFonts w:hint="eastAsia" w:cs="微软雅黑"/>
          <w:color w:val="2C2C2C"/>
          <w:sz w:val="24"/>
          <w:szCs w:val="24"/>
          <w:lang w:val="en-US" w:eastAsia="zh-CN"/>
        </w:rPr>
        <w:t>责</w:t>
      </w:r>
      <w:r>
        <w:rPr>
          <w:rFonts w:hint="eastAsia" w:ascii="微软雅黑" w:hAnsi="微软雅黑" w:eastAsia="微软雅黑" w:cs="微软雅黑"/>
          <w:color w:val="2C2C2C"/>
          <w:sz w:val="24"/>
          <w:szCs w:val="24"/>
        </w:rPr>
        <w:t>任。</w:t>
      </w:r>
    </w:p>
    <w:p w14:paraId="582D65C8">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其一，根据保险条款中对身故保险责任的约定，“在保险期间内</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被保险人遭受意外伤害事故，并自事故发生之日起180日内因该事故的直接原因导致身故的，保险人按保险金额给付身故保险金……”保险条款释义部分载明：“意外伤害：指以外来的、突发的、非本意的和非疾病的客观事件为直接且单独的原因致使身体受到的伤害。”本案中，居民死亡医学证明（推断）书记载赵某峰死亡原因为院前死亡，审理中双方确认赵某峰死亡原因为中暑，故法院在处理本纠纷中以赵某峰的死亡原因为中暑为依据，直接原因在于工作环境中的高温引起体内热量过度积蓄，从而引发身体机能变化，系由外来因素所致，符合意外伤害的外来性特征。并且，赵某峰在工作时发生中暑事故，具有突发性和不可预见性，且伤害的发生非本意。从现有证据来看，被告没有举证证明赵某峰的死亡系因其自身疾病因素导致。因此，赵某峰的死亡符合“意外伤害”的情形。</w:t>
      </w:r>
    </w:p>
    <w:p w14:paraId="5CFCCA61">
      <w:pPr>
        <w:spacing w:after="120" w:line="360" w:lineRule="auto"/>
        <w:ind w:firstLine="480" w:firstLineChars="20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其二，根据保险条款第六条责任免除的约定，被告并未将中暑列入意外伤害的免责范围，也未对疾病的具体情形是否包含中暑作出说明、解释。现被告以保险条款第六条第（四）项作为拒赔的理由，认为中暑属于疾病范畴，依据不足。现代医学对疾病的定义为对人体正常形态与功能的偏离。有如健康一样，从不同角度考察可以给出不同的定义。本案中，在保险合同未对“疾病”的内涵和外延进行明确约定，且当事人对该保险条款内容存有争议的情况下，根据《中华人民共和国保险法》第三十条的规定，应当作出有利于被保险人和受益人的解释。另外，本案并无证据证明赵某峰中暑身故系因其自身疾病和高温工作环境共同导致，故可以认定赵某峰中暑系完全由高温等外部因素引起，符合意外伤害外来的、突发的、非本意的特征，也与保险合同订立时双方所期待的保险利益相一致，并未超出保险合同的射幸范围。</w:t>
      </w:r>
    </w:p>
    <w:p w14:paraId="243F76D3">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关联索引</w:t>
      </w:r>
    </w:p>
    <w:p w14:paraId="18CC2649">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《中华人民共和国保险法》（2015年修正）第2条、第23条</w:t>
      </w:r>
    </w:p>
    <w:p w14:paraId="07947CFA">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一审：上海市浦东新区人民法院（2021）沪0115民初71463号民事判决（2021年11月25日）</w:t>
      </w:r>
    </w:p>
    <w:p w14:paraId="5D77ED01">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二审：上海金融法院（2022）沪74民终737号民事判决（2022年8月12日）</w:t>
      </w:r>
    </w:p>
    <w:p w14:paraId="59E023B0">
      <w:pPr>
        <w:spacing w:after="120" w:line="360" w:lineRule="auto"/>
        <w:jc w:val="center"/>
        <w:rPr>
          <w:rFonts w:hint="eastAsia" w:ascii="微软雅黑" w:hAnsi="微软雅黑" w:eastAsia="微软雅黑" w:cs="微软雅黑"/>
          <w:b/>
          <w:bCs/>
          <w:color w:val="2C2C2C"/>
          <w:sz w:val="24"/>
          <w:szCs w:val="24"/>
          <w:lang w:val="en-US" w:eastAsia="zh-CN"/>
        </w:rPr>
      </w:pPr>
    </w:p>
    <w:p w14:paraId="44EA458F">
      <w:pPr>
        <w:spacing w:after="120" w:line="360" w:lineRule="auto"/>
        <w:jc w:val="center"/>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lang w:val="en-US" w:eastAsia="zh-CN"/>
        </w:rPr>
        <w:t>3.</w:t>
      </w:r>
      <w:r>
        <w:rPr>
          <w:rFonts w:hint="eastAsia" w:ascii="微软雅黑" w:hAnsi="微软雅黑" w:eastAsia="微软雅黑" w:cs="微软雅黑"/>
          <w:b/>
          <w:bCs/>
          <w:color w:val="2C2C2C"/>
          <w:sz w:val="24"/>
          <w:szCs w:val="24"/>
        </w:rPr>
        <w:t>吉某道、 谌某娥诉某财产保险股份有限公司无锡分公司人身保险合同纠纷案</w:t>
      </w:r>
    </w:p>
    <w:p w14:paraId="3AC56158">
      <w:pPr>
        <w:spacing w:after="120" w:line="360" w:lineRule="auto"/>
        <w:jc w:val="center"/>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—按机动车处理的超标电动车不属于意外伤害保险中约定的“机动车交通工具”范畴</w:t>
      </w:r>
    </w:p>
    <w:p w14:paraId="6494535B">
      <w:pPr>
        <w:spacing w:after="120" w:line="360" w:lineRule="auto"/>
        <w:jc w:val="right"/>
        <w:rPr>
          <w:rFonts w:hint="eastAsia" w:ascii="微软雅黑" w:hAnsi="微软雅黑" w:eastAsia="微软雅黑" w:cs="微软雅黑"/>
          <w:b/>
          <w:bCs/>
          <w:color w:val="2C2C2C"/>
          <w:sz w:val="24"/>
          <w:szCs w:val="24"/>
        </w:rPr>
      </w:pPr>
      <w:r>
        <w:rPr>
          <w:sz w:val="24"/>
          <w:szCs w:val="24"/>
          <w:lang w:val="en-US" w:eastAsia="zh-CN"/>
        </w:rPr>
        <w:t>2024-08-2-334-001</w:t>
      </w:r>
    </w:p>
    <w:p w14:paraId="6BB21204">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b/>
          <w:bCs/>
          <w:color w:val="2C2C2C"/>
          <w:sz w:val="24"/>
          <w:szCs w:val="24"/>
        </w:rPr>
        <w:t>裁判要旨</w:t>
      </w:r>
    </w:p>
    <w:p w14:paraId="6A927158">
      <w:pPr>
        <w:spacing w:after="120" w:line="360" w:lineRule="auto"/>
        <w:ind w:firstLine="480"/>
        <w:rPr>
          <w:rFonts w:hint="eastAsia" w:cs="微软雅黑"/>
          <w:b/>
          <w:bCs/>
          <w:color w:val="2C2C2C"/>
          <w:sz w:val="24"/>
          <w:szCs w:val="24"/>
          <w:lang w:val="en-US" w:eastAsia="zh-CN"/>
        </w:rPr>
      </w:pPr>
      <w:r>
        <w:rPr>
          <w:rFonts w:hint="eastAsia" w:ascii="微软雅黑" w:hAnsi="微软雅黑" w:eastAsia="微软雅黑" w:cs="微软雅黑"/>
          <w:color w:val="2C2C2C"/>
          <w:sz w:val="24"/>
          <w:szCs w:val="24"/>
        </w:rPr>
        <w:t>对于保险合同中未明确约定“机动车交通工具”范围，而当事人对超标电动车是否属于“机动车交通工具”产生争议时，应当遵循诚信原则，按照保险合同订立时公众普遍的认知进行判断，而不宜直接将交管部门在处理交通事故时按机动车处理的超标电动车纳入保险条款约定的“机动车交通工具”理解范畴。</w:t>
      </w:r>
    </w:p>
    <w:p w14:paraId="3D48D437">
      <w:pPr>
        <w:spacing w:after="120" w:line="360" w:lineRule="auto"/>
        <w:ind w:firstLine="480" w:firstLineChars="200"/>
        <w:jc w:val="both"/>
        <w:rPr>
          <w:rFonts w:hint="default" w:ascii="微软雅黑" w:hAnsi="微软雅黑" w:eastAsia="微软雅黑" w:cs="微软雅黑"/>
          <w:b/>
          <w:bCs/>
          <w:color w:val="2C2C2C"/>
          <w:sz w:val="24"/>
          <w:szCs w:val="24"/>
          <w:lang w:val="en-US" w:eastAsia="zh-CN"/>
        </w:rPr>
      </w:pPr>
      <w:r>
        <w:rPr>
          <w:rFonts w:hint="eastAsia" w:cs="微软雅黑"/>
          <w:b/>
          <w:bCs/>
          <w:color w:val="2C2C2C"/>
          <w:sz w:val="24"/>
          <w:szCs w:val="24"/>
          <w:lang w:val="en-US" w:eastAsia="zh-CN"/>
        </w:rPr>
        <w:t>基本案情</w:t>
      </w:r>
    </w:p>
    <w:p w14:paraId="3A9DC745">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原告吉某道</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谌某娥诉称：其系死者吉某祥的父母，吉某祥为无锡某学校14高技2班学生，学校向某财产保险股份有限公司无锡分公司（以下简称某保险无锡分公司）为其投保了意外伤害保险，保额为50000元</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保险期间为2015年9月1日0时起至2016年8月31日24时止。2016年4月 15日，吉某祥驾驶二轮电动车（载乘沈某荣）发生交通事故，吉某祥、沈某荣受伤后送医院抢救无效死亡。故诉至法院，请求判令：某保险无锡分公司赔偿吉某道、谌某娥保险金50000元；</w:t>
      </w:r>
    </w:p>
    <w:p w14:paraId="7E0EB4C3">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被告某保险无锡分公司辩称：吉某祥系无锡某学校学生，该校在某保险无锡分公司投保了学生人身意外伤害保险，保额为50000元，保险期间为2015年9月1日至2016年8月31日，被保险人包括吉某祥在内，事故发生在保险期间内。但因本案符合保险条款中责任免除第六条第四款约定  ,某保险无锡分公司拒绝赔偿。另外，事故发生后，吉某道、  谌某娥未向某保险无锡分公司报案，且其已于2016年7月26日处理完毕交通事故</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距今已经超过三年诉讼时效，已丧失胜诉权。</w:t>
      </w:r>
    </w:p>
    <w:p w14:paraId="3A9E7C39">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法院经审理查明：2015年10月20日，无锡某学校向某保险无锡分公司提交《意外伤害保险/短期健康保险投保单》，为包括吉某祥在内的 1101名学生投保了学生意外伤害保险，保险金额为50000元。同月28日</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某保险无锡分公司向学校签发《短期健康保险和意外伤害保险保险单 》，其中第六条约定“因下列情形之一，造成被保险人身故、残疾的</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保险人不负给付保险金的责任： ……（四）被保险人酒后驾驶、无有效驾驶证照驾驶，或驾驶无有效行驶证的机动车交通工具……”。上述责任免除条款以加黑加粗字体标注。在保险条款释义部分，无有效驾驶证定义为：无驾驶证或驾驶证有效期已届满…… ；（2）无公安机关交通管理部门核发的行驶证、号牌，或临时号牌或临时移动证的机动交通工具。而案涉《道路交通事故认定书》载明：吉某祥未依法取得机动车驾驶证，未戴安全头盔，驾驶未经公安机关交通管理部门登记的摩托车上道路行驶时，疏于观察路面情况，以致发生道路交通事故……。</w:t>
      </w:r>
    </w:p>
    <w:p w14:paraId="7DF7C74E">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关于本案是否超过诉讼时效期间，吉某道、 谌某娥举证了拍摄照片 ,证明其在无锡某学校得知吉某祥投保的《短期健康保险和意外伤害保险保险单》的时间为2020年12月14日。某保险无锡分公司对照片拍摄时间无异议，但认为照片无法显示拍摄地点，亦无法证明吉某道、 谌某娥是首次得知投保情况。</w:t>
      </w:r>
    </w:p>
    <w:p w14:paraId="7D53468E">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江苏省无锡市滨湖区人民法院于2021年4月28日作出（2021）苏0211民初1221号民事判决：被告某保险无锡分公司于本判决生效后十日内支付原告吉某道、 谌某娥保险金50000元。宣判后，某保险无锡分公司提起上诉。江苏省无锡市中级人民法院于2021年10月20日作出（2021）苏02民终4276号民事判决：驳回上诉，维持原判。</w:t>
      </w:r>
    </w:p>
    <w:p w14:paraId="1797B15E">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b/>
          <w:bCs/>
          <w:color w:val="2C2C2C"/>
          <w:sz w:val="24"/>
          <w:szCs w:val="24"/>
        </w:rPr>
        <w:t>裁判理由</w:t>
      </w:r>
    </w:p>
    <w:p w14:paraId="242F18E0">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本案的争议焦点是：吉某祥驾驶涉案电动车发生保险事故是否属于保险条款中“无有效驾驶证驾驶或驾驶无有效行驶证的机动车”的责任免除情形。</w:t>
      </w:r>
    </w:p>
    <w:p w14:paraId="0FD29248">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某保险无锡分公司提供的投保单可以证实，某保险无锡分公司对案涉保险合同及所附保险条款的免除保险人责任内容已作出足以引起注意的提示且投保人无锡某学校盖章确认保险人已对相关免除保险人责任条款进行了明确说明，因此，案涉保险条款的免责条款对吉某祥产生法律效力。</w:t>
      </w:r>
    </w:p>
    <w:p w14:paraId="7291BFC7">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本案双方对《学生人身意外伤害保险条款》第六条“被保险人酒后驾驶、无有效驾驶证照驾驶，或驾驶无有效行驶证的机动车交通工具”责任免除情形中的“机动车交通工具”的理解发生争议，即对涉案车辆是否属于“机动车交通工具”发生争议。保险条款并未就“机动车交通工具”进行解释，亦未约定涉案车辆（超标电动车）属于该免责条款约定的“机动车交通工具”范畴。《中华人民共和国保险法》第三十条规定：“采用保险人提供的格式条款订立的保险合同，保险人与投保人 、被保险人或者受益人对合同条款有争议的，应当按照通常理解予以解释。对合同条款有两种以上解释的，人民法院或者仲裁机构应当作出有利于被保险人和受益人的解释。”根据该条规定，上述免责条款属于格式条款，在保险条款对“机动车交通工具”的定义并未约定的情况下</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机动车交通工具”应当按照普通人的理解和识别能力进行判断，解释成具有普遍意义上的机动车外观、动力，且可以办理机动车驾驶证照等手续的机动车。交管部门出具的交通事故认定书将超标电动车认定为机动车，是基于交通事故发生后从技术角度对电动车的动力、速度、质量等因素作出的一种推定，是为处理交通事故赔偿作出的认定，用以区分事故责任。但是在管理规范角度，相关法律、法规未明确规定超标电动车属于机动车，而且按照事故发生时事故发生电动自行车交通管理的相关规定，超标电动车并未按照机动车进行管理，无法取得机动车牌照 ,也无法申领机动车驾驶证和行驶证。因此，免责条款中所列的情形应该是针对驾驶者怠于履行申领证照义务的制约和风险提示，该条款中“机动车交通工具”应当理解为可以取得有效驾驶证和车辆牌照的机动车，不应包括交管部门在处理交通事故时按技术参数鉴定后按机动车处理的超标电动车。且保险人和被保险人人对于上述免责条款中的“机动车交通工具”存在不同的解释，也应当作出不利于格式条款提供方的解释。因此，本案不符合保险条款约定的“无有效驾驶证照驾驶，或驾驶无有效行驶证的机动车交通工具”的免责情形，某保险无锡分公司应当按约承担保险赔偿义务。</w:t>
      </w:r>
    </w:p>
    <w:p w14:paraId="6A26F101">
      <w:pPr>
        <w:spacing w:after="120" w:line="360" w:lineRule="auto"/>
        <w:ind w:firstLine="480"/>
        <w:rPr>
          <w:rFonts w:hint="eastAsia" w:ascii="微软雅黑" w:hAnsi="微软雅黑" w:eastAsia="微软雅黑" w:cs="微软雅黑"/>
          <w:b/>
          <w:bCs/>
          <w:color w:val="2C2C2C"/>
          <w:sz w:val="24"/>
          <w:szCs w:val="24"/>
          <w:lang w:val="en-US" w:eastAsia="zh-CN"/>
        </w:rPr>
      </w:pPr>
      <w:r>
        <w:rPr>
          <w:rFonts w:hint="eastAsia" w:ascii="微软雅黑" w:hAnsi="微软雅黑" w:eastAsia="微软雅黑" w:cs="微软雅黑"/>
          <w:b/>
          <w:bCs/>
          <w:color w:val="2C2C2C"/>
          <w:sz w:val="24"/>
          <w:szCs w:val="24"/>
        </w:rPr>
        <w:t>关联索引</w:t>
      </w:r>
    </w:p>
    <w:p w14:paraId="77DD5687">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《中华人民共和国民法典》第188条</w:t>
      </w:r>
    </w:p>
    <w:p w14:paraId="65EE083C">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《中华人民共和国保险法》（2015年修正）第17条、第30条</w:t>
      </w:r>
    </w:p>
    <w:p w14:paraId="5B40AB9C">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一审：江苏省无锡市滨湖区人民法院（2021）苏0211民初1221号民事判决（2021年4</w:t>
      </w:r>
      <w:r>
        <w:rPr>
          <w:rFonts w:hint="eastAsia" w:cs="微软雅黑"/>
          <w:color w:val="2C2C2C"/>
          <w:sz w:val="24"/>
          <w:szCs w:val="24"/>
          <w:lang w:val="en-US" w:eastAsia="zh-CN"/>
        </w:rPr>
        <w:t>月</w:t>
      </w:r>
      <w:r>
        <w:rPr>
          <w:rFonts w:hint="eastAsia" w:ascii="微软雅黑" w:hAnsi="微软雅黑" w:eastAsia="微软雅黑" w:cs="微软雅黑"/>
          <w:color w:val="2C2C2C"/>
          <w:sz w:val="24"/>
          <w:szCs w:val="24"/>
        </w:rPr>
        <w:t>28日）</w:t>
      </w:r>
    </w:p>
    <w:p w14:paraId="38A77980">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二审：江苏省无锡市中级人民法院（2021）苏02民终4276号民事判决（2021年10月20日）</w:t>
      </w:r>
    </w:p>
    <w:p w14:paraId="7D5B83A8">
      <w:pPr>
        <w:spacing w:after="120" w:line="360" w:lineRule="auto"/>
        <w:jc w:val="center"/>
        <w:rPr>
          <w:rFonts w:hint="eastAsia" w:ascii="微软雅黑" w:hAnsi="微软雅黑" w:eastAsia="微软雅黑" w:cs="微软雅黑"/>
          <w:b/>
          <w:bCs/>
          <w:color w:val="2C2C2C"/>
          <w:sz w:val="24"/>
          <w:szCs w:val="24"/>
          <w:lang w:val="en-US" w:eastAsia="zh-CN"/>
        </w:rPr>
      </w:pPr>
    </w:p>
    <w:p w14:paraId="66768487">
      <w:pPr>
        <w:spacing w:after="120" w:line="360" w:lineRule="auto"/>
        <w:jc w:val="center"/>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lang w:val="en-US" w:eastAsia="zh-CN"/>
        </w:rPr>
        <w:t>4.</w:t>
      </w:r>
      <w:r>
        <w:rPr>
          <w:rFonts w:hint="eastAsia" w:ascii="微软雅黑" w:hAnsi="微软雅黑" w:eastAsia="微软雅黑" w:cs="微软雅黑"/>
          <w:b/>
          <w:bCs/>
          <w:color w:val="2C2C2C"/>
          <w:sz w:val="24"/>
          <w:szCs w:val="24"/>
        </w:rPr>
        <w:t>胡某勇诉中国某人寿保险股份有限公司东莞中心支公司人身保险合同纠纷案</w:t>
      </w:r>
    </w:p>
    <w:p w14:paraId="190D9057">
      <w:pPr>
        <w:spacing w:after="120" w:line="360" w:lineRule="auto"/>
        <w:jc w:val="center"/>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——投保人的如实告知义务为法定义务，不属于保险公司须作提示说明的范围</w:t>
      </w:r>
    </w:p>
    <w:p w14:paraId="113364F5">
      <w:pPr>
        <w:spacing w:after="120" w:line="360" w:lineRule="auto"/>
        <w:jc w:val="right"/>
        <w:rPr>
          <w:rFonts w:hint="eastAsia" w:ascii="微软雅黑" w:hAnsi="微软雅黑" w:eastAsia="微软雅黑" w:cs="微软雅黑"/>
          <w:b/>
          <w:bCs/>
          <w:color w:val="2C2C2C"/>
          <w:sz w:val="24"/>
          <w:szCs w:val="24"/>
        </w:rPr>
      </w:pPr>
      <w:r>
        <w:rPr>
          <w:sz w:val="24"/>
          <w:szCs w:val="24"/>
          <w:lang w:val="en-US" w:eastAsia="zh-CN"/>
        </w:rPr>
        <w:t>2024-08-2-334-007</w:t>
      </w:r>
    </w:p>
    <w:p w14:paraId="3433FD28">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裁判要旨</w:t>
      </w:r>
    </w:p>
    <w:p w14:paraId="735D5B9C">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1.投保人的如实告知义务为法定义务，保险人因投保人未尽如实告知义务而享有的解除合同权利的条款，并不属于保险人对格式条款的提示与说明义务的范围。</w:t>
      </w:r>
    </w:p>
    <w:p w14:paraId="77DE34CD">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color w:val="2C2C2C"/>
          <w:sz w:val="24"/>
          <w:szCs w:val="24"/>
        </w:rPr>
        <w:t>2.投保人的告知义务仅限于保险人询问的范围和内容。法律并没有限制保险人以何种形式进行询问。</w:t>
      </w:r>
    </w:p>
    <w:p w14:paraId="57A91FB1">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b/>
          <w:bCs/>
          <w:color w:val="2C2C2C"/>
          <w:sz w:val="24"/>
          <w:szCs w:val="24"/>
        </w:rPr>
        <w:t>基本案情</w:t>
      </w:r>
    </w:p>
    <w:p w14:paraId="6397BFA8">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2019年6月，被保险人胡某勇在某医院接受体检时，发现“肾功4项 ,肝功9项”多项指标异常，并于同年11月、12月接受门诊治疗。2020年6月8日，胡某勇的妻子投保人洪某南通过中国某人寿保险股份有限公司东莞中心支公司（以下简称某人寿保险东莞公司）为其丈夫胡某勇（被保险人）投保人身保险。某人寿保险东莞公司代理人何某姣通过微信向洪某南发送投保链接。投保人洪某南对《人身保险投保提示书》《免除保险人责任条款说明书》《人身保险投保书》予以签字确认，其中《人身投保提示书》的“健康告知”中04项（您目前或过去一年内是否去医院进行过门诊的检查、服药、手术或其他治疗）、05项（您过去三年内是否曾有医学检查[包括健康体检]结果异常）、06项（您过去五年内是否曾住院检查或治疗，包括入住疗养院、康复医院等医疗机构）、08项（您目前是否患有过或曾经患有过下列疾病或手术史[E泌尿系统，例如肾病、肾功能不全]），上述询问事项中，胡某勇及投保人均填写否。</w:t>
      </w:r>
    </w:p>
    <w:p w14:paraId="225C4455">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投保后，某人寿保险东莞公司再次向投保人致电回访，回访中某人寿保险东莞公司再次向投保人确认以下问题“请问您收到了电子保单或纸质保单吗”“回执是您亲笔签名吗”“投保书和电子投保申请书是您亲笔签名的吗”“另外一份投保书和电子投保申请确认书，是您和被保险人胡某勇亲笔签名的吗”，投保人均肯定回复予以确认。此后，洪某南向某人寿保险东莞公司缴纳了两期的保险费。</w:t>
      </w:r>
    </w:p>
    <w:p w14:paraId="1C6C9842">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2021年10月20日，胡某勇因慢性肾脏病5期等疾病入院治疗，出院后 ,胡某勇向某人寿保险东莞公司申请理赔。某人寿保险东莞公司于2021年12月21日作出拒赔决定书，通知胡某勇解除保险合同，不予退还保险费，并拒付保险金。理由是：被保险人投保前存在疾病病史，而投保人在投保时未如实告知。被保险人胡某勇不服该决定，认为案涉保单投保过程均在线上操作，保险代理人何某姣未对胡某勇的健康状况进行任何的询问或免除责任条款的说明，未履行说明和明确提示义务，起诉要求某人寿保险东莞公司赔付相应保险费。</w:t>
      </w:r>
    </w:p>
    <w:p w14:paraId="3154DEB2">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广东省东莞市第一人民法院于2022年8月25日作出（2022）粤1971民初15413号民事判决：一、限中国某人寿保险股份有限公司东莞中心支公司于判决发生法律效力之日起十日内向胡某勇支付重大疾病保险金800000元；二、驳回胡某勇的其他诉讼请求。宣判后，中国某人寿保险股份有限公司东莞中心支公司不服，提起上诉。广东省东莞市中级人民法院于2023年2月3日作出(2022)粤19民终11884号民事判决：一、撤销广东省东莞市第一人民法院（2022）粤1971民初15413号民事判决；二、驳回胡某勇的全部诉讼请求。</w:t>
      </w:r>
    </w:p>
    <w:p w14:paraId="539C455A">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b/>
          <w:bCs/>
          <w:color w:val="2C2C2C"/>
          <w:sz w:val="24"/>
          <w:szCs w:val="24"/>
        </w:rPr>
        <w:t>裁判理由</w:t>
      </w:r>
    </w:p>
    <w:p w14:paraId="2436AF84">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首先，案涉险种《某某守护百分百两全保险条款》第7.6条对保险人的提示说明义务，以及投保人的如实告知义务分别作出了约定。依照《最高人民法院关于适用&lt;中华人民共和国保险法&gt;若干问题的解释（二)》（法释〔2013〕14号，以下简称保险法司法解释二）第九条的规定 ：“保险人提供的格式合同文本中的责任免除条款、免赔额、免赔率、比例赔付或者给付等免除或者减轻保险人责任的条款，可以认定为保险法第十七条第二款规定的‘免除保险人责任的条款’。保险人因投保人 、被保险人违反法定或者约定义务，享有解除合同权利的条款，不属于保险法第十七条第二款规定的‘免除保险人责任的条款’”。同时，依照保险法第十六条第一、二款的规定：“订立保险合同，保险人就保险标的或者被保险人的有关情况提出询问的，投保人应当如实告知。投保人故意或者因重大过失未履行前款规定的如实告知义务，足以影响保险人决定是否同意承保或者提高保险费率的，保险人有权解除合同。”可见，保险人因投保人未尽如实告知义务而享有的解除合同权利的条款</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依法不属于保险法第十七条第二款规定的“免除保险人责任的条款”,即投保人的如实告知义务为法定义务，涉及投保人如实告知义务的合同条款无须保险人明确说明也产生法律效力，故一审法院以某人寿保险东莞公司未尽提示说明义务为由，支持投保人的理赔主张，属于适用法律错误。</w:t>
      </w:r>
    </w:p>
    <w:p w14:paraId="4EF63CCF">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其次，投保人的告知义务仅限于保险人询问的范围和内容。保险法第十六条第一款的规定，投保人的告知是由保险人以询问的方式进行</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法律并没有限制保险人以何种形式进行询问，换言之，保险人的询问可以通过线上或线下的方式、以书面或口头的方式进行。胡某勇主张保险代理人未当面进行询问，应视为某人寿保险东莞公司未履行询问义务 ,于法无据，不予支持。现有证据能够证实某人寿保险东莞公司代理人何某蛟通过微信方式向投保人洪某南发送线上投保链接，洪某亦南确认其亲自完成了《人身保险投保提示书》《人身保险投保书》的电子签名 ,并确认某人寿保险东莞公司系通过线上《人身保险投保提示书》的“健康告知”模块向洪某南进行健康询问的事实。依照保险法司法解释二第五条的规定：“保险合同订立时，投保人明知的与保险标的或者被保险人有关的情况，属于保险法第十六条第一款规定的投保人‘应当如实告知’的内容。”而对于被保险人胡某南在投保前存在体检结果异常 、曾经入院治疗的情况，投保人洪某南作为胡某勇的配偶，对胡某勇的前述情况理应清楚知晓，但洪某南并未在《人身保险投保提示书》的“健康告知”04项（您目前或过去一年内是否去医院进行过门诊的检查  、服药、手术或其他治疗）、05项（您过去三年内是否曾有医学检查[包括健康体检]结果异常？）、06项（您过去五年内是否曾住院检查或治疗 ,包括入住疗养院、康复医院等医疗机构）的询问事项中作出如实告知  ,应当认定洪某南违反了法定的如实告知义务。如实告知只要求投保人如实陈述其所知道的事实，不要求投保人具备辨识体检结果异常与肾脏疾病关联性的能力，一审法院认定投保人洪某南未如实告知胡某勇体检结果异常及曾经住院的情况属于已完全履行告知义务，与事实不符，属认定事实错误，应当予以纠正。</w:t>
      </w:r>
    </w:p>
    <w:p w14:paraId="2A0FB988">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案涉保险属于人身保险，投保人洪某南此前亦有投保其他人身保险的经验，应当清楚被保险人胡某勇的健康情况对于投保人身保险的重要性，鉴于洪某南及胡某勇均未如实告知胡某勇在投保前存在曾经住院、门诊治疗、体检结果异常等情况，而前述询问事项，均足以影响保险人决定是否同意承保或者提高保险费率，应视为投保人明知该事实而故意不告知，依照保险法第十六条第二款、第四款的规定，某人寿保险东莞公司有权解除合同，并不予退还保险费。胡某勇诉请某人寿保险东莞公司支付重大疾病保险金800000元及逾期付款利息7495.89元，于法无据  ,对此不予支持。另，保险销售过程中的录音录像要求，系保险行业为规范投保过程、减少争议的手段，并不免除投保人法定的如实告知义务 ,胡某勇以此主张某人寿保险东莞公司未履行询问义务，于法无据不予支持。</w:t>
      </w:r>
    </w:p>
    <w:p w14:paraId="306BB72E">
      <w:pPr>
        <w:spacing w:after="120" w:line="360" w:lineRule="auto"/>
        <w:ind w:firstLine="480" w:firstLineChars="20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综上所述，某人寿保险东莞公司的上诉请求成立，应予支持；一审判决认定事实部分有误，适用法律错误，导致处理结果不当，应予改判。</w:t>
      </w:r>
    </w:p>
    <w:p w14:paraId="29CAD478">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b/>
          <w:bCs/>
          <w:color w:val="2C2C2C"/>
          <w:sz w:val="24"/>
          <w:szCs w:val="24"/>
        </w:rPr>
        <w:t>关联索引</w:t>
      </w:r>
    </w:p>
    <w:p w14:paraId="7986E923">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《中华人民共和国保险法》第16条、第17条</w:t>
      </w:r>
    </w:p>
    <w:p w14:paraId="344E9715">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《最高人民法院关于适用&lt;中华人民共和国保险法&gt;若干问题的解释（二）》（法释〔2013〕14号）第5条、第9条</w:t>
      </w:r>
    </w:p>
    <w:p w14:paraId="771CCA94">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一审：广东省东莞市第一人民法院（2022）粤1971民初15413号民事判决（2022年8月25日）</w:t>
      </w:r>
    </w:p>
    <w:p w14:paraId="7E5BD5EA">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二审：广东省东莞市中级人民法院(2022)粤19民终11884号民事判决（2023年2月3日）</w:t>
      </w:r>
    </w:p>
    <w:p w14:paraId="06C5B5A1">
      <w:pPr>
        <w:numPr>
          <w:ilvl w:val="0"/>
          <w:numId w:val="0"/>
        </w:numPr>
        <w:spacing w:after="120" w:line="360" w:lineRule="auto"/>
        <w:jc w:val="center"/>
        <w:rPr>
          <w:rFonts w:hint="eastAsia" w:ascii="微软雅黑" w:hAnsi="微软雅黑" w:eastAsia="微软雅黑" w:cs="微软雅黑"/>
          <w:b/>
          <w:bCs/>
          <w:color w:val="2C2C2C"/>
          <w:sz w:val="24"/>
          <w:szCs w:val="24"/>
        </w:rPr>
      </w:pPr>
    </w:p>
    <w:p w14:paraId="0CD2F139">
      <w:pPr>
        <w:numPr>
          <w:ilvl w:val="0"/>
          <w:numId w:val="0"/>
        </w:numPr>
        <w:spacing w:after="120" w:line="360" w:lineRule="auto"/>
        <w:jc w:val="center"/>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5.廖某诉某保险公司南充市顺庆区支公司人身保险合同纠纷案</w:t>
      </w:r>
    </w:p>
    <w:p w14:paraId="3477617B">
      <w:pPr>
        <w:numPr>
          <w:ilvl w:val="0"/>
          <w:numId w:val="0"/>
        </w:numPr>
        <w:spacing w:after="120" w:line="360" w:lineRule="auto"/>
        <w:ind w:firstLine="480" w:firstLineChars="200"/>
        <w:jc w:val="both"/>
        <w:rPr>
          <w:rFonts w:hint="eastAsia" w:ascii="微软雅黑" w:hAnsi="微软雅黑" w:eastAsia="微软雅黑" w:cs="微软雅黑"/>
          <w:b/>
          <w:bCs/>
          <w:color w:val="2C2C2C"/>
          <w:sz w:val="24"/>
          <w:szCs w:val="24"/>
        </w:rPr>
      </w:pPr>
      <w:r>
        <w:rPr>
          <w:rFonts w:ascii="微软雅黑" w:hAnsi="微软雅黑" w:eastAsia="微软雅黑" w:cs="微软雅黑"/>
          <w:b/>
          <w:bCs/>
          <w:color w:val="2C2C2C"/>
          <w:sz w:val="24"/>
          <w:szCs w:val="24"/>
          <w:lang w:val="en-US" w:eastAsia="zh-CN"/>
        </w:rPr>
        <w:t>——</w:t>
      </w:r>
      <w:r>
        <w:rPr>
          <w:rFonts w:hint="eastAsia" w:ascii="微软雅黑" w:hAnsi="微软雅黑" w:eastAsia="微软雅黑" w:cs="微软雅黑"/>
          <w:b/>
          <w:bCs/>
          <w:color w:val="2C2C2C"/>
          <w:sz w:val="24"/>
          <w:szCs w:val="24"/>
        </w:rPr>
        <w:t>保险人明知投保人的投保有导致合同无效的情形仍接受投保并收取保险费的，不</w:t>
      </w:r>
      <w:r>
        <w:rPr>
          <w:rFonts w:hint="eastAsia" w:cs="微软雅黑"/>
          <w:b/>
          <w:bCs/>
          <w:color w:val="2C2C2C"/>
          <w:sz w:val="24"/>
          <w:szCs w:val="24"/>
          <w:lang w:val="en-US" w:eastAsia="zh-CN"/>
        </w:rPr>
        <w:t>得</w:t>
      </w:r>
      <w:r>
        <w:rPr>
          <w:rFonts w:hint="eastAsia" w:ascii="微软雅黑" w:hAnsi="微软雅黑" w:eastAsia="微软雅黑" w:cs="微软雅黑"/>
          <w:b/>
          <w:bCs/>
          <w:color w:val="2C2C2C"/>
          <w:sz w:val="24"/>
          <w:szCs w:val="24"/>
        </w:rPr>
        <w:t>以合同无</w:t>
      </w:r>
      <w:r>
        <w:rPr>
          <w:rFonts w:hint="eastAsia" w:ascii="微软雅黑" w:hAnsi="微软雅黑" w:eastAsia="微软雅黑" w:cs="微软雅黑"/>
          <w:b/>
          <w:bCs/>
          <w:color w:val="2C2C2C"/>
          <w:sz w:val="24"/>
          <w:szCs w:val="24"/>
          <w:lang w:val="en-US" w:eastAsia="zh-CN"/>
        </w:rPr>
        <w:t>效</w:t>
      </w:r>
      <w:r>
        <w:rPr>
          <w:rFonts w:hint="eastAsia" w:ascii="微软雅黑" w:hAnsi="微软雅黑" w:eastAsia="微软雅黑" w:cs="微软雅黑"/>
          <w:b/>
          <w:bCs/>
          <w:color w:val="2C2C2C"/>
          <w:sz w:val="24"/>
          <w:szCs w:val="24"/>
        </w:rPr>
        <w:t>为由进行抗辩</w:t>
      </w:r>
    </w:p>
    <w:p w14:paraId="66BA2389">
      <w:pPr>
        <w:spacing w:after="120" w:line="360" w:lineRule="auto"/>
        <w:jc w:val="right"/>
        <w:rPr>
          <w:rFonts w:hint="eastAsia"/>
          <w:sz w:val="24"/>
          <w:szCs w:val="24"/>
          <w:lang w:val="en-US" w:eastAsia="zh-CN"/>
        </w:rPr>
      </w:pPr>
      <w:r>
        <w:rPr>
          <w:rFonts w:hint="eastAsia"/>
          <w:sz w:val="24"/>
          <w:szCs w:val="24"/>
          <w:lang w:val="en-US" w:eastAsia="zh-CN"/>
        </w:rPr>
        <w:t>2023-16-2-334-001</w:t>
      </w:r>
    </w:p>
    <w:p w14:paraId="28095FE2">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裁判要旨</w:t>
      </w:r>
    </w:p>
    <w:p w14:paraId="15D3B89E">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1.根据《中华人民共和国保险法》（2002年修正）第五十六条第一款的规定，以死亡为给付保险金条件的合同，未经被保险人书面同意并认可保险金额的，合同无效。禁止反言原则是保险人应当遵循的基本原则。保险人明知投保人的投保有导致合同无效的情形或其他重大瑕疵</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仍接受投保人的投保，并签发保险单、收取保险费的，应当推定被保险人以其他书面方式同意并认可保险合同，保险人不得以合同无效或其他原已放弃的权利进行抗辩。</w:t>
      </w:r>
    </w:p>
    <w:p w14:paraId="76E0E4E8">
      <w:pPr>
        <w:spacing w:after="120" w:line="360" w:lineRule="auto"/>
        <w:ind w:firstLine="480"/>
        <w:rPr>
          <w:rFonts w:hint="eastAsia"/>
          <w:sz w:val="24"/>
          <w:szCs w:val="24"/>
          <w:lang w:val="en-US" w:eastAsia="zh-CN"/>
        </w:rPr>
      </w:pPr>
      <w:r>
        <w:rPr>
          <w:rFonts w:hint="eastAsia" w:ascii="微软雅黑" w:hAnsi="微软雅黑" w:eastAsia="微软雅黑" w:cs="微软雅黑"/>
          <w:color w:val="2C2C2C"/>
          <w:sz w:val="24"/>
          <w:szCs w:val="24"/>
        </w:rPr>
        <w:t>2.根据《中华人民共和国保险法》（2002年修正）第十七条第二款 、第三款的规定，投保人在投保时应当履行如实告知义务。投保人故意隐瞒事实，不履行如实告知义务的，保险人不承担赔偿或者给付保险金的责任。</w:t>
      </w:r>
    </w:p>
    <w:p w14:paraId="1B5A7F7C">
      <w:pPr>
        <w:spacing w:after="120" w:line="360" w:lineRule="auto"/>
        <w:ind w:firstLine="480" w:firstLineChars="200"/>
        <w:rPr>
          <w:rFonts w:hint="eastAsia" w:ascii="微软雅黑" w:hAnsi="微软雅黑" w:eastAsia="微软雅黑" w:cs="微软雅黑"/>
          <w:color w:val="2C2C2C"/>
          <w:sz w:val="24"/>
          <w:szCs w:val="24"/>
        </w:rPr>
      </w:pPr>
      <w:r>
        <w:rPr>
          <w:rFonts w:hint="eastAsia" w:ascii="微软雅黑" w:hAnsi="微软雅黑" w:eastAsia="微软雅黑" w:cs="微软雅黑"/>
          <w:b/>
          <w:bCs/>
          <w:color w:val="2C2C2C"/>
          <w:sz w:val="24"/>
          <w:szCs w:val="24"/>
        </w:rPr>
        <w:t>基本案情</w:t>
      </w:r>
    </w:p>
    <w:p w14:paraId="60999FAA">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原告廖某诉称：1998年11月10日，原告在被告处为其胞弟廖某某投保了鸿寿养老保险，约定保险金额为2万元，若1年后被保险人因疾病身故，则按保险金额2倍给付身故保险金，无息退还已交保险费。同年10月29日至12月23日，原告又先后6次在被告处为其胞弟投保了简易人身保险 ,上述保险的受益人均为原告廖某。投保后，原告每年按期交付了保险费。2002年8月1日被保险人廖某某因患病在家中死亡。原告作为上述保险合同的投保人及受益人，按规定及时向被告递交了《理赔申请书》及全套索赔资料，但被告多次推诿，并通知原告解除上述保险合同。故诉请法院判令被告立即给付原告鸿寿养老保险身故保险金4万元及利息，退还已交保险费3,840.00元；立即给付原告简易人身保险身故保险金357,660.00元及利息，并承担本案诉讼费。</w:t>
      </w:r>
    </w:p>
    <w:p w14:paraId="0CD9084B">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被告某保险公司南充市顺庆区支公司（以下简称某寿险公司顺庆支公司）辩称：原告设定自己为受益人，为被保险人廖某某投保，隐瞒了廖某某身患支气管哮喘、阻塞性肺气肿、慢性肺源性心脏病等疾病带病投保的重要事实，在投保时未如实履行告知义务，符合解除保险合同的实质要件。请求法院确认解除合同已生效，驳回原告的诉讼请求。</w:t>
      </w:r>
    </w:p>
    <w:p w14:paraId="25DB0303">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法院经审理查明：1998年11月10日，廖某为其弟廖某某在某寿险公司顺庆支公司投保了鸿寿养老保险，约定保险金额为2万元，被保险人廖某某至60岁时一次性领取保险金额2倍的养老保险金或在1年后因疾病身故时，保险人按照保险金额的2倍给付身故保险金，无息退还已交保险费 。受益人为廖某。在投保单的告知事项栏内，列举了被保险人过去10年内是否患有慢性支气管炎、肺结核、哮喘等疾病和过去10年内是否患病或受伤住院、过去5年是否接受过X光检查等，选择栏内均为否定选择。</w:t>
      </w:r>
    </w:p>
    <w:p w14:paraId="63489FEA">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投保人廖某代表本人及被保险人廖某某对上述选择在“声明与授权”栏内签字确认。在被保险人签名栏内，写明为“廖某代”。声明与授权栏内的内容为：本人谨代表本人及被保险人声明及同意，向贵公司投保上述保险，对保险条款的各项规定均已了解，所填投保单各项及告知事项均属事实并确无欺瞒。某寿险公司顺庆支公司出具了保险单。1998年10月29日、10月30日、11月10日、11月12日、11月20日、12月23日，廖某还6 次在某寿险公司顺庆支公司为廖某某投保简易人身保险，约定的保险金额分别为：89,415元、65,571元、11,922元、11,922元、59,610元、119220元。共计357660元。受益人均为廖某。双方约定，保险人按照保险金额给付满期（30年）保险金，或在保险合同生效180天后因疾病身故，保险人按上述保险金额给付身故保险金。前5次简易人身保险的投保单的告知事项中，要求投保人如实告知被保险人最近健康状况  ,包括是否患有心脏病、肺气肿、肺结核等。所有栏目内均为否定选择  。在声明和授权项下，廖某在投保人和被保险人栏内进行了签字确认。在被保险人签名栏内，写明为“廖某代”。声明与授权中注明：所填写事项均属事实，如有隐瞒或与事实不符，保险公司可解除合同并不承担由此引发的保险责任。自保单生效180天内，保险人不承担被保险人因疾病所致死亡或高度残疾保险金的给付责任。1998年12月23日的投保单的格式与前5次有所不同，在被保险人健康状况声明事项中，要求选择是否患有（或患过）心脏病、肺气肿、肺结核等疾病，选择的“无”。廖某之妻代表投保人廖某及被保险人廖某某在声明与授权栏内签了字，未写明代签。“声明与授权”中承诺，对所填写投保单各项及告知事项均属实，确无欺瞒。</w:t>
      </w:r>
    </w:p>
    <w:p w14:paraId="16409AD2">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投保后，廖某按期交付了上述保险合同中约定的保险费。2002年8月1日，被保险人廖某某在家中死亡。为查明死亡原因，经死者之妻及哥廖某同意，南充某寿险公司委托川北医学院附属医院进行了尸检。尸检表明，本例的慢性支气管炎、慢性阻塞性肺气肿、融合性小叶性肺炎和肺源性心脏病的诊断是成立的。胸、腹腔积液和肝脂肪变性、慢性脾淤血为继发改变。死因为呼吸衰竭和心力衰竭。2002年8月6日，南充某寿险公司委托该院法医室对投保前廖某某是否患有心脏病、肺气肿、肺结核进行鉴定，该院（2002）南中法技字第15号法医学鉴定书认定：廖某某在投保前存在慢性支气管炎并发慢性阻塞性肺气肿、慢性肺源性心脏病  。2003年7月4日，四川南充某律师事务所委托南充通正司法鉴定中心对廖某某患慢性肺源性心脏病的时间进行鉴定。鉴定结论为：廖某某6 岁左右始患支气管哮喘，1998年10月投保前，廖某某患有慢性支气管炎、支气管哮喘、成旧TB、阻塞性肺气肿、慢性肺源性心脏病。通过提取廖某某的病历证实：1984年7月15日至7月19日，廖某某因双肺结核在原南充地区人民医院住院治疗。1993年7月15日，廖某某因“畏寒、发热、咳嗽、伴右胸痛”，在原南充地区人民医院住院，经X光胸部透视，最终诊断为支气管炎。同年8月7日，廖某某痊愈出院。1995年4月21日，廖某某因“咳嗽、咳痰、右胸部疼痛”等在武警8,740 部队医院住院治疗，病案显示的联系人为廖某。治疗期间，医院对患者进行了胸部X光透视，诊断结果为慢性支气管炎，4月28日，廖某某治愈出院。廖某为廖某某投保后，1999年8月8日至20日、2001年12月27日至2002年1月4日，廖某某两次因支气管炎、肺心病、肺气肿等病住院治疗。</w:t>
      </w:r>
    </w:p>
    <w:p w14:paraId="6DE67122">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廖某某死亡后，廖某向某寿险公司顺庆支公司索赔，某寿险公司顺庆支公司于2003年4月5日通知廖某处理保险理赔事宜。2003年7月23日  ,某寿险公司顺庆支公司通知廖某解除保险合同。廖某遂诉至法院。为证明其诉讼请求，廖某向法院提交了7 份证明（复制件），该证明署名人为廖某某，内容是同意廖某为其投保，对保险金额予以认可</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并同意受益人为廖某。7 份证明的落款时间均为1998年。廖某称该7份证明系投保后第二年廖某某所写，原件已交某寿险公司顺庆支公司留存。法院依据廖某的申请，于2003年8月25日作出民事裁定书，提取某寿险公司顺庆支公司保存的、涉及廖某某的全套保险资料。当天，某寿险公司顺庆支公司及南充某寿险公司以经办人员请假为由，未提供相关资料。次日，南充某寿险公司提供了档案材料，无廖某某同意廖某为其投保的证明。2003年9月2日，法院书面告知某寿险公司顺庆支公司，可在规定期限内申请对廖某提供的廖某某的证明的真实性进行鉴定。某寿险公司顺庆支公司对四川省南充市顺庆区人民法院（以下简称南充顺庆法院）的通知提出异议，认为：1.廖某对证明的真实性、合法性、关联性负有举证责任，应由廖某申请鉴定；2.不放弃进行鉴定申请的权利，请求法院确定预交鉴定费金额。在规定期限内，某寿险公司顺庆支公司未另行单独提出鉴定申请。南充顺庆法院据此对7份证明（复制件）的真实性予以确认。</w:t>
      </w:r>
    </w:p>
    <w:p w14:paraId="6F71BA1F">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南充顺庆法院于2003年12月5日作出(2003)顺庆民初字第1765号民事判决：一、某寿险公司顺庆支公司给付廖某简易人身保险身故保险金357,660元及利息（2002年8月9日至付清之日，按人民银行同期贷款利率计算）；二、驳回廖某的其他诉讼请求。宣判后，某寿险公司顺庆支公司不服，向四川省南充市中级人民法院提出上诉。四川省南充市中级人民法院于2004年3月10日作出（2004）南中法民终字第13号民事判决：一、撤销顺庆区人民法院（2003）顺庆民初字第1765号民事判决；二、某寿险公司顺庆支公司向廖某给付简易人身保险身故保险金238,440元；三 、驳回廖某的其他诉讼请求。</w:t>
      </w:r>
    </w:p>
    <w:p w14:paraId="472B4866">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裁判理由</w:t>
      </w:r>
    </w:p>
    <w:p w14:paraId="71B03806">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法院生效裁判认为，廖某提供的7份“廖某某的证明”系复制件，《最高人民法院关于民事诉讼证据的若干规定》 第七十五条规定，有证据证明一方当事人持有证据无正当理由拒不提供，如果对方当事人主张该证据的内容不利于证据持有人，可以推定该主张成立。根据这一规定</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只有在廖某有证据证明某寿险公司顺庆支公司持有“廖某某的证明”的原件且无正当理由拒不提供，才能构成举证妨碍推定。廖某认可“廖某某的证明”系1999年补写，表明这些“证明”不是投保当时形成  ,即廖某与某寿险公司顺庆支公司签订保险合同时，某寿险公司顺庆支公司不持有这些“证明”原件，廖某也未提供某寿险公司顺庆支公司在合同签订后取得了这些“证明”原件的依据。因此，原审将证明“廖某某的证明”的真实性的举证责任分配给某寿险公司顺庆支公司并按照举证妨碍推定的原则确认“廖某某的证明”的真实性不符合法律规定。人身保险合同是以人的寿命和身体为保险标的的合同，本案所涉6份简易人身保险合同中都有以死亡为给付保险金条件的内容，《中华人民共和国保险法》第五十六条第一款规定，以死亡为给付保险金条件的合同，未经被保险人书面同意并认可保险金额的，合同无效。在前5份简易人身保险投保单上，廖某代表廖某某在被保险人栏内签名时，写明了“廖某代  ”,投保人填写投保单在前，保险人对投保单的审查并同意承保在后</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因此，某寿险公司顺庆支公司对投保人廖某代被保险人廖某某在投保单上签名系明知。任何保险代理人都应当知道，以死亡为给付保险金条件的保险，必须经被保险人的书面同意。在保险人明知投保人代被保险人签名的情况下，某寿险公司顺庆支公司仍接受了廖某的投保，并收取了保险费，应当推定被保险人以其他书面方式同意并认可保险金额。保险合同被称为最大的诚实信用合同，禁止反言是保险人遵循最大的诚实信用原则的具体体现，即保险人明知投保人的投保有导致合同无效的情形或其他重大瑕疵，但仍然接受投保人的投保，并签发保险单、收取保险费，在诉讼中，保险人不得以合同无效或其他原已放弃的权利进行抗辩。某寿险公司顺庆支公司对投保人代被保险人签名的事实系明知，在履行保险合同的近4年内，投保人一直按期交纳保险费，保险人对合同是否经被保险人书面同意并认可保险金额，从未提出质疑，如果不发生保险事故，保险人自身的经营目的将得以实现，而在保险事故发生后，保险人提出合同未经被保险人书面同意并认可，对合同的效力提出质疑</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违背了诚实信用原则。综上，上诉人上诉称原审对举证责任分配不当的理由虽成立，但并不因此对简易人身保险合同的效力产生影响。</w:t>
      </w:r>
    </w:p>
    <w:p w14:paraId="6CA12964">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关于投保人是否违反如实告知义务。投保人的如实告知义务是法律明确规定的，如实告知的范围限于保险人询问的投保人知道或应当知道的重大事项。在前5份人身保险合同中，保险人询问的范围是被保险人最近的健康状况，虽然被保险人投保前曾患过肺结核等疾病，但在投保前的最后一次因右肺部感染住院距首次投保简易人身险的时间长达三年半  ,之前因支气管炎住院距首次投保简易人身险的时间长达五年多，两次均“治愈”出院。患肺结核住院距投保时间长达十四年。而保险人在询问“最近健康状况”时，并未明确说明“最近”的含义，无法认定投保人在投保时知道或应当知道被保险人“最近”是否患有保险人所询问的疾病，因此，不能认定投保人故意或过失隐瞒事实。投保人未履行如实告知义务的理由不能成立。</w:t>
      </w:r>
    </w:p>
    <w:p w14:paraId="07B71FCE">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关于1998年12月23日签订的保险合同条款的理解。投保当时，简易人身保险投保单上所列“被保险人是否患有（或患过）下列疾病”一栏中，所列的疾病包括被保险人曾患过的肺结核等疾病。对于该条的理解  ,投保人认为，保险人询问的是两个问题，即被保险人是否患有下列疾病？是否患过下列疾病？投保单在该处使用的是“或”，表明投保人可以在上述两个问题之间选择之一回答。投保人并不知道被保险人患有所列疾病，故填写“无”，并不能证明投保人未履行如实告知义务。保险人认为，该处“或”的表述针对的是“患有”或“患过”两种情形，只要被保险人现患有或曾患过投保单上所列疾病，就应如实告知，投保人在该栏内填写“无”，显然未履行如实告知义务。根据《中华人民共和国保险法》 第三十一条的规定，“对于保险合同的条款，保险人与投保人、被保险人或者受益人有争议时，人民法院或者仲裁机关应当作有利于被保险人和受益人的解释”。该条规定确立了不利解释原则，但不利解释原则的适用应以通常解释为前置，只有在按照通常解释仍然有两种以上理解时，才能适用不利解释做出对提供格式合同条款一方不利的解释。从投保单上“是否患有（或患过）下列疾病”的文义表述看，保险人询问的是一个问题，该处的“或”是针对“患有”“患过”两种情形  ,被保险人对所列疾病只要具备其中一种情况，投保人就应如实告知。</w:t>
      </w:r>
    </w:p>
    <w:p w14:paraId="47E75090">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该项表述不存在疑义，因此，不能适用不利解释原则作出不利于保险人的解释。投保人的解释不符合该处的文义，应当采用保险人的解释。被保险人廖某1984年、1995年先后因患肺结核、支气管炎住院，投保人廖某作为住院的联系人，对投保前廖某某患过慢性支气管炎系明知，肺结核及其他疾病也在保险人的询问范围内，投保人在该栏内选择“无”,隐瞒了事实，未履行如实告知义务。根据《中华人民共和国保险法 》第十七条第二款、第三款的规定，投保人故意隐瞒事实，不履行如实告知义务的，或者因过失未履行如实告知义务，足以影响保险人决定是否同意承保或者提高保险费率的，保险人有权解除保险合同。投保人故意不履行如实告知义务，保险人对于保险合同解除前发生的保险事故</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不承担赔偿或给付保险金的责任，并不退还保险费。投保人的如实告知义务是法定义务，该义务不因保险人未明确说明法律后果就不产生效力。投保人廖某在保险人的询问中隐瞒了被保险人廖某某曾患有的疾病 ,未履行法律规定的如实告知义务，某寿险公司顺庆支公司有权拒付双方于1998年12月23日所签订的保险合同约定的保险金。</w:t>
      </w:r>
    </w:p>
    <w:p w14:paraId="248B5F7F">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关联索引</w:t>
      </w:r>
    </w:p>
    <w:p w14:paraId="2115C77E">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《中华人民共和国保险法》第34条第1款（本案适用的是2003年1月 1日施行的《中华人民共和国保险法》第56条第1款）、第16条第2款、第4款（本案适用的是2003年1月1日施行的《中华人民共和国保险法》第17条第2款、第3款）</w:t>
      </w:r>
    </w:p>
    <w:p w14:paraId="63E83A4E">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一审：四川省南充市顺庆区人民法院（2003）顺庆民初字第1765号民事判决（2003年12月5日）</w:t>
      </w:r>
    </w:p>
    <w:p w14:paraId="5BDB4637">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二审：四川省南充市中级人民法院（2004）南中法民终字第13号民事判决（2004年3月10日）</w:t>
      </w:r>
    </w:p>
    <w:p w14:paraId="1318E226">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本案例文本已于2024年3月25日作出调整</w:t>
      </w:r>
    </w:p>
    <w:p w14:paraId="2032633B">
      <w:pPr>
        <w:spacing w:after="120" w:line="360" w:lineRule="auto"/>
        <w:jc w:val="center"/>
        <w:rPr>
          <w:rFonts w:hint="eastAsia" w:ascii="微软雅黑" w:hAnsi="微软雅黑" w:eastAsia="微软雅黑" w:cs="微软雅黑"/>
          <w:b/>
          <w:bCs/>
          <w:color w:val="2C2C2C"/>
          <w:sz w:val="24"/>
          <w:szCs w:val="24"/>
          <w:lang w:val="en-US" w:eastAsia="zh-CN"/>
        </w:rPr>
      </w:pPr>
    </w:p>
    <w:p w14:paraId="05C0D228">
      <w:pPr>
        <w:spacing w:after="120" w:line="360" w:lineRule="auto"/>
        <w:jc w:val="center"/>
        <w:rPr>
          <w:rFonts w:hint="eastAsia" w:ascii="微软雅黑" w:hAnsi="微软雅黑" w:eastAsia="微软雅黑" w:cs="微软雅黑"/>
          <w:b/>
          <w:bCs/>
          <w:color w:val="2C2C2C"/>
          <w:sz w:val="24"/>
          <w:szCs w:val="24"/>
          <w:lang w:val="en-US" w:eastAsia="zh-CN"/>
        </w:rPr>
      </w:pPr>
      <w:r>
        <w:rPr>
          <w:rFonts w:hint="eastAsia" w:ascii="微软雅黑" w:hAnsi="微软雅黑" w:eastAsia="微软雅黑" w:cs="微软雅黑"/>
          <w:b/>
          <w:bCs/>
          <w:color w:val="2C2C2C"/>
          <w:sz w:val="24"/>
          <w:szCs w:val="24"/>
          <w:lang w:val="en-US" w:eastAsia="zh-CN"/>
        </w:rPr>
        <w:t>6.何某等诉某人寿保险股份有限公司上海分公司人身保险合同纠纷案</w:t>
      </w:r>
    </w:p>
    <w:p w14:paraId="19B48360">
      <w:pPr>
        <w:spacing w:after="120" w:line="360" w:lineRule="auto"/>
        <w:jc w:val="center"/>
        <w:rPr>
          <w:rFonts w:hint="eastAsia" w:ascii="微软雅黑" w:hAnsi="微软雅黑" w:eastAsia="微软雅黑" w:cs="微软雅黑"/>
          <w:b/>
          <w:bCs/>
          <w:color w:val="2C2C2C"/>
          <w:sz w:val="24"/>
          <w:szCs w:val="24"/>
          <w:lang w:val="en-US" w:eastAsia="zh-CN"/>
        </w:rPr>
      </w:pPr>
      <w:r>
        <w:rPr>
          <w:rFonts w:hint="eastAsia" w:ascii="微软雅黑" w:hAnsi="微软雅黑" w:eastAsia="微软雅黑" w:cs="微软雅黑"/>
          <w:b/>
          <w:bCs/>
          <w:color w:val="2C2C2C"/>
          <w:sz w:val="24"/>
          <w:szCs w:val="24"/>
          <w:lang w:val="en-US" w:eastAsia="zh-CN"/>
        </w:rPr>
        <w:t>——猝死事故属于意外伤害保险的保险责任范围</w:t>
      </w:r>
    </w:p>
    <w:p w14:paraId="3F3F199C">
      <w:pPr>
        <w:spacing w:after="120" w:line="360" w:lineRule="auto"/>
        <w:jc w:val="right"/>
        <w:rPr>
          <w:sz w:val="24"/>
          <w:szCs w:val="24"/>
          <w:lang w:val="en-US" w:eastAsia="zh-CN"/>
        </w:rPr>
      </w:pPr>
      <w:r>
        <w:rPr>
          <w:sz w:val="24"/>
          <w:szCs w:val="24"/>
          <w:lang w:val="en-US" w:eastAsia="zh-CN"/>
        </w:rPr>
        <w:t>2024-08-2-334-006</w:t>
      </w:r>
    </w:p>
    <w:p w14:paraId="6FF33E5F">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裁判要旨</w:t>
      </w:r>
    </w:p>
    <w:p w14:paraId="25224246">
      <w:pPr>
        <w:spacing w:after="120" w:line="360" w:lineRule="auto"/>
        <w:ind w:firstLine="480"/>
        <w:rPr>
          <w:rFonts w:hint="eastAsia"/>
          <w:sz w:val="24"/>
          <w:szCs w:val="24"/>
          <w:lang w:val="en-US" w:eastAsia="zh-CN"/>
        </w:rPr>
      </w:pPr>
      <w:r>
        <w:rPr>
          <w:rFonts w:hint="eastAsia" w:ascii="微软雅黑" w:hAnsi="微软雅黑" w:eastAsia="微软雅黑" w:cs="微软雅黑"/>
          <w:color w:val="2C2C2C"/>
          <w:sz w:val="24"/>
          <w:szCs w:val="24"/>
        </w:rPr>
        <w:t>猝死的原因不仅包括疾病，还包括病理性以外的其他因素。在保险合同中，认定猝死事故是否属于意外伤害保险合同的保险责任范围，应结合事故成因予以确定，而不能在未进行尸检的情况下就主观推定猝死的原因是疾病，从而将猝死排除在意外伤害保险的承保范畴之外。若保险人并未明确提出尸检要求，在受益人已完成初步证明义务的情况下</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保险人应承担举证不能的不利后果。</w:t>
      </w:r>
    </w:p>
    <w:p w14:paraId="0081648F">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基本案情</w:t>
      </w:r>
    </w:p>
    <w:p w14:paraId="0E598BEB">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何某等诉称：“猝死”不仅包括因疾病而致的“猝死”，还包括不明“因由”的突然意外死亡，可能存在病理性以外原因导致的“猝死”。何某等向某人寿保险股份有限公司上海分公司（以下简称某保险公司）提供了被保险人的生前全部病史，并且被保险人单位、同事曾向警方作证，说明被保险人生前并无“高血压、心脏病”等导致“猝死”的疾病。被保险人的“死”是突发的、非本意的，也是非疾病的，应属于保险公司所承保的“意外伤害”致死。某保险公司在被保险人火化后拒赔，认为何某等无法证明“非疾病意外猝死”，但因疾病猝死的举证责任在某保险公司，某保险公司不能举证应承担不利后果。故请求判令：1.某保险公司向何某等支付意外死亡保险金130000元；2.某保险公司赔偿何某等律师代理费5000元。</w:t>
      </w:r>
    </w:p>
    <w:p w14:paraId="67C4D3C2">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某保险公司辩称：对意外伤害应从词义的本身解释，外来的、突发的、非本意的、非疾病的四个条件是并列的，只有同时满足四个条件才构成意外伤害。被保险人死亡的原因并非保险合同约定的意外事件，而是猝死，从医学角度是因潜在的自然疾病突然发作、恶化所造成的急速死亡，而非保险合同约定的非疾病的使身体受到伤害的意外事件。同时 ,免责条款中没有约定猝死，但其中第（12）项已约定“既有疾病的急性发作”的情况下责任免除，猝死前一般都查不出病因，猝死的诱因一般是内部原因而非外在原因。因此本案保险人不承担保险责任，要求保险公司承担律师费无法律依据。</w:t>
      </w:r>
    </w:p>
    <w:p w14:paraId="7E734B48">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法院经审理查明：何某等人系被保险人吴某法定共同受益人，其关系分别为被保险人的妻子、儿子、父亲。2009年8月，吴某参加单位组织的旅游，并购买了某保险公司经营的旅行综合意外伤害保险，其中意外保险金额最高为130000元。旅行第二天，吴某被人发现仰躺在酒店温泉池池底，救出后经抢救无效而死亡。对现场进行勘查及对尸体检验后</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公安局出具死亡证明，结论为猝死。由于何某等不同意公安机关对吴某进行尸体解剖，某保险公司也未明确提出尸体解剖的要求，后吴某尸体被火化。何某等在事故发生之后即向某保险公司报案，并递交理赔材料。某保险公司于2009年10月26日出具理赔结案通知书，告知拒绝赔付 ,理由是：被保险人身故原因为“猝死”，故不予给付意外身故保险金。旅行综合意外伤害保险条款第2.3条规定，被保险人因遭受意外伤害事故，并自该事故发生之日起一百八十日内以该事故为直接且单独的原因身故的，保险人按其基本保险金额给付“意外身故保险金”，对该被保险人保险责任终止。第2.4条规定，被保险人因以下情形之一造成身故 、残疾或发生医疗费用的，保险人不承担保险责任：……(5)被保险人非法服用、吸食或注射违禁药品，成瘾性吸入有毒气体，酗酒或斗殴; ……（12）被保险人既有疾病的急性发作。第6.1条规定，意外伤害是指遭受外来的、突发的、非本意的、非疾病的使身体受到伤害的客观事件。</w:t>
      </w:r>
    </w:p>
    <w:p w14:paraId="1B3D5DE4">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上海市浦东新区人民法院于2010年10月21日作出（2010）浦民六(商 )初字第674号民事判决：一、某保险公司应赔付何某等保险金130000元  ；二、驳回何某等其余诉讼请求。</w:t>
      </w:r>
    </w:p>
    <w:p w14:paraId="482F933C">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一审宣判后，双方当事人均未提出上诉，判决已发生法律效力。</w:t>
      </w:r>
    </w:p>
    <w:p w14:paraId="38B39018">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裁判理由</w:t>
      </w:r>
    </w:p>
    <w:p w14:paraId="739D5089">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法院生效裁判认为，何某等人作为法定受益人，有权主张本保险合同项下的保险权益。本案的争议焦点在于：一是被保险人身故是否为保险合同中约定的“意外伤害事故”所致；二是当事人双方对被保险人死亡原因的举证责任及其法律后果；三是保险公司应否及如何承担保险责任。</w:t>
      </w:r>
    </w:p>
    <w:p w14:paraId="73EFBBDA">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关于第一项争议焦点，涉案保险合同未直接约定“猝死”属于承保范围或是免责范围，所以对保险公司责任的判定应根据被保险人的死亡是否属于所承保的意外伤害或免责条款中所约定的“既有疾病的急性发作”加以认定。涉案旅行综合意外伤害保险条款中对“意外伤害”进行了释义，其中“外来的、突发的、非本意的、非疾病的”四个要素同时具备才构成意外伤害。本案中双方主要对涉案事故是否具备“非疾病”因素存在争议。首先，猝死的原因不仅包括疾病，还包括病理性以外的其他因素，不能将猝死等同于疾病死亡。对于猝死的原因，应结合猝死的定义和被保险人的具体情况加以认定。通常认为，猝死是指貌似健康的人，由于机体内潜在的疾病或重要器官发生急性功能障碍，导致意外的、突然的、非暴力性死亡。造成猝死可以有某些诱因如精神过度紧张、暴饮暴食、轻微外伤、冷热刺激、过度疲劳等，也可以无明显诱因 。由此可见，猝死包括非疾病的意外死亡，某保险公司认为猝死均由潜在疾病导致的抗辩是不能成立的。其次，本案被保险人的猝死不能认定为具有疾病因素。因为公安机关未认定被保险人因潜在疾病发作而死亡 ,而是认为猝死，但猝死的诱因有精神、心理因素、冷热刺激、过度疲劳、暴饮暴食等。被保险人的生前医疗记录也未载明其存在可能引发死亡的疾病。而且，本案保险事故发生后，何某等不同意对被保险人尸体进行解剖，也没有证据表明某保险公司曾提出不同意见。在此情况下  ,也尚不能认定被保险人猝死是由疾病所致。综上，本案中被保险人身故属于保险合同中约定的“意外伤害事故”所致。</w:t>
      </w:r>
    </w:p>
    <w:p w14:paraId="610CBDB4">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关于第二项争议焦点，根据《中华人民共和国保险法》和涉案保险条款的有关规定，受益人在索赔时原则上应承担保险事故性质、原因和损失程度的证明责任。在涉案保险事故发生后，何某等已经及时通知了某保险公司，并向某保险公司提供了被保险人生前的全部病史，对被保险人不存在潜在疾病完成了自己的初步证明义务。此时，某保险公司主张被保险人猝死是由既有疾病或潜在疾病所致，应承担相应的举证义务 。但某保险公司自得知事故发生时起至尸体火化时止，并未主张对被保险人进行尸体解剖，在何某等不同意公安机关进行尸体解剖的情况下</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也未明确提出尸体解剖的要求，而是认可了公安机关作出的猝死结论 。故，在双方就被保险人猝死原因存有争议而何某等已尽初步证明义务的情况下，某保险公司不能证明其所主张的被保险人的死亡是由潜在疾病所致，应承担相应的不利后果。</w:t>
      </w:r>
    </w:p>
    <w:p w14:paraId="5E77E024">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关于第三项争议焦点，如上所述，在某保险公司不能举出相反证据的情况下，应认定本案被保险人猝死属于非疾病原因的死亡，符合保险合同约定的赔付条件，某保险公司应承担相应的保险责任。同理，被保险人猝死具有意外、突然的特点，超出其自主意识之外，在某保险公司不能证明其由被保险人意愿或内在原因所致时，应认定具备了保险条款约定的意外伤害事故的外来的、突发的、非本意的要素。某保险公司辩称被保险人在饮酒后未听从酒店工作人员的劝阻进入温泉池，酒店温泉区域也已明确告知游客酒后不能泡温泉，所以某保险公司不应承担保险责任。但本案并无证据足以证明被保险人系在酗酒后泡温泉，公安机关的调查报告对此也未认定。即使被保险人确属在饮用不确定量的酒之后泡温泉，某保险公司也未能证明这已构成保险公司可以免责的事由，或属于保险公司所承保的意外伤害身故保险范围之外。故某保险公司应承担全部的保险金赔付责任。</w:t>
      </w:r>
    </w:p>
    <w:p w14:paraId="16BA09C0">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关联索引</w:t>
      </w:r>
    </w:p>
    <w:p w14:paraId="1558B491">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《中华人民共和国保险法》第23条第1款（本案适用的是2003年1月1日施行的《中华人民共和国保险法》第24条第1款）</w:t>
      </w:r>
    </w:p>
    <w:p w14:paraId="792CC5B2">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一审：上海市浦东新区人民法院（2010）浦民六（商）初字第674号民事判决（2010年10月21日）</w:t>
      </w:r>
    </w:p>
    <w:p w14:paraId="45B959D8">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本案例文本已于2024年2月26日作出调整</w:t>
      </w:r>
    </w:p>
    <w:p w14:paraId="1E49396B">
      <w:pPr>
        <w:spacing w:after="120" w:line="360" w:lineRule="auto"/>
        <w:ind w:firstLine="480"/>
        <w:rPr>
          <w:rFonts w:hint="eastAsia" w:ascii="微软雅黑" w:hAnsi="微软雅黑" w:eastAsia="微软雅黑" w:cs="微软雅黑"/>
          <w:color w:val="2C2C2C"/>
          <w:sz w:val="24"/>
          <w:szCs w:val="24"/>
        </w:rPr>
      </w:pPr>
    </w:p>
    <w:p w14:paraId="0849F4EC">
      <w:pPr>
        <w:spacing w:after="120" w:line="360" w:lineRule="auto"/>
        <w:jc w:val="center"/>
        <w:rPr>
          <w:rFonts w:hint="eastAsia" w:ascii="微软雅黑" w:hAnsi="微软雅黑" w:eastAsia="微软雅黑" w:cs="微软雅黑"/>
          <w:b/>
          <w:bCs/>
          <w:color w:val="2C2C2C"/>
          <w:sz w:val="24"/>
          <w:szCs w:val="24"/>
          <w:lang w:val="en-US" w:eastAsia="zh-CN"/>
        </w:rPr>
      </w:pPr>
      <w:r>
        <w:rPr>
          <w:rFonts w:hint="eastAsia" w:ascii="微软雅黑" w:hAnsi="微软雅黑" w:eastAsia="微软雅黑" w:cs="微软雅黑"/>
          <w:b/>
          <w:bCs/>
          <w:color w:val="2C2C2C"/>
          <w:sz w:val="24"/>
          <w:szCs w:val="24"/>
          <w:lang w:val="en-US" w:eastAsia="zh-CN"/>
        </w:rPr>
        <w:t>7.鲁某某、高某某诉某某人寿保险公司人身保险合同纠纷案</w:t>
      </w:r>
    </w:p>
    <w:p w14:paraId="5ABC8219">
      <w:pPr>
        <w:spacing w:after="120" w:line="360" w:lineRule="auto"/>
        <w:jc w:val="center"/>
        <w:rPr>
          <w:rFonts w:hint="eastAsia" w:ascii="微软雅黑" w:hAnsi="微软雅黑" w:eastAsia="微软雅黑" w:cs="微软雅黑"/>
          <w:b/>
          <w:bCs/>
          <w:color w:val="2C2C2C"/>
          <w:sz w:val="24"/>
          <w:szCs w:val="24"/>
          <w:lang w:val="en-US" w:eastAsia="zh-CN"/>
        </w:rPr>
      </w:pPr>
      <w:r>
        <w:rPr>
          <w:rFonts w:hint="eastAsia" w:cs="微软雅黑"/>
          <w:b/>
          <w:bCs/>
          <w:color w:val="2C2C2C"/>
          <w:sz w:val="24"/>
          <w:szCs w:val="24"/>
          <w:lang w:val="en-US" w:eastAsia="zh-CN"/>
        </w:rPr>
        <w:t xml:space="preserve">                  </w:t>
      </w:r>
      <w:r>
        <w:rPr>
          <w:rFonts w:hint="eastAsia" w:ascii="微软雅黑" w:hAnsi="微软雅黑" w:eastAsia="微软雅黑" w:cs="微软雅黑"/>
          <w:b/>
          <w:bCs/>
          <w:color w:val="2C2C2C"/>
          <w:sz w:val="24"/>
          <w:szCs w:val="24"/>
        </w:rPr>
        <w:t>——</w:t>
      </w:r>
      <w:r>
        <w:rPr>
          <w:rFonts w:hint="eastAsia" w:ascii="微软雅黑" w:hAnsi="微软雅黑" w:eastAsia="微软雅黑" w:cs="微软雅黑"/>
          <w:b/>
          <w:bCs/>
          <w:color w:val="2C2C2C"/>
          <w:sz w:val="24"/>
          <w:szCs w:val="24"/>
          <w:lang w:val="en-US" w:eastAsia="zh-CN"/>
        </w:rPr>
        <w:t>“有利法律溯及既往”原则指导下协调解决新旧保险法关于受益权丧失规定的差异问题</w:t>
      </w:r>
    </w:p>
    <w:p w14:paraId="01F4CECA">
      <w:pPr>
        <w:spacing w:after="120" w:line="360" w:lineRule="auto"/>
        <w:jc w:val="right"/>
        <w:rPr>
          <w:rFonts w:hint="eastAsia" w:ascii="微软雅黑" w:hAnsi="微软雅黑" w:eastAsia="微软雅黑" w:cs="微软雅黑"/>
          <w:b/>
          <w:bCs/>
          <w:color w:val="2C2C2C"/>
          <w:sz w:val="24"/>
          <w:szCs w:val="24"/>
          <w:lang w:val="en-US" w:eastAsia="zh-CN"/>
        </w:rPr>
      </w:pPr>
      <w:r>
        <w:rPr>
          <w:rFonts w:hint="eastAsia" w:ascii="微软雅黑" w:hAnsi="微软雅黑" w:eastAsia="微软雅黑" w:cs="微软雅黑"/>
          <w:b w:val="0"/>
          <w:bCs w:val="0"/>
          <w:color w:val="2C2C2C"/>
          <w:sz w:val="24"/>
          <w:szCs w:val="24"/>
          <w:lang w:val="en-US" w:eastAsia="zh-CN"/>
        </w:rPr>
        <w:t>2024-08-2-334-005</w:t>
      </w:r>
    </w:p>
    <w:p w14:paraId="7917684D">
      <w:pPr>
        <w:spacing w:after="120" w:line="360" w:lineRule="auto"/>
        <w:ind w:firstLine="480"/>
        <w:rPr>
          <w:rFonts w:hint="eastAsia" w:ascii="微软雅黑" w:hAnsi="微软雅黑" w:eastAsia="微软雅黑" w:cs="微软雅黑"/>
          <w:b/>
          <w:bCs/>
          <w:color w:val="2C2C2C"/>
          <w:sz w:val="24"/>
          <w:szCs w:val="24"/>
        </w:rPr>
      </w:pPr>
      <w:r>
        <w:rPr>
          <w:rFonts w:hint="eastAsia" w:cs="微软雅黑"/>
          <w:b/>
          <w:bCs/>
          <w:color w:val="2C2C2C"/>
          <w:sz w:val="24"/>
          <w:szCs w:val="24"/>
          <w:lang w:val="en-US" w:eastAsia="zh-CN"/>
        </w:rPr>
        <w:t xml:space="preserve"> </w:t>
      </w:r>
      <w:r>
        <w:rPr>
          <w:rFonts w:hint="eastAsia" w:ascii="微软雅黑" w:hAnsi="微软雅黑" w:eastAsia="微软雅黑" w:cs="微软雅黑"/>
          <w:b/>
          <w:bCs/>
          <w:color w:val="2C2C2C"/>
          <w:sz w:val="24"/>
          <w:szCs w:val="24"/>
        </w:rPr>
        <w:t>裁判要旨</w:t>
      </w:r>
    </w:p>
    <w:p w14:paraId="2404B436">
      <w:pPr>
        <w:spacing w:after="120" w:line="360" w:lineRule="auto"/>
        <w:ind w:firstLine="480"/>
        <w:rPr>
          <w:rFonts w:hint="default" w:ascii="微软雅黑" w:hAnsi="微软雅黑" w:eastAsia="微软雅黑" w:cs="微软雅黑"/>
          <w:b/>
          <w:bCs/>
          <w:color w:val="2C2C2C"/>
          <w:sz w:val="24"/>
          <w:szCs w:val="24"/>
          <w:lang w:val="en-US" w:eastAsia="zh-CN"/>
        </w:rPr>
      </w:pPr>
      <w:r>
        <w:rPr>
          <w:rFonts w:hint="eastAsia" w:ascii="微软雅黑" w:hAnsi="微软雅黑" w:eastAsia="微软雅黑" w:cs="微软雅黑"/>
          <w:color w:val="2C2C2C"/>
          <w:sz w:val="24"/>
          <w:szCs w:val="24"/>
        </w:rPr>
        <w:t>受益人之一杀害被保险人，其他受益人是否享有保险金请求权，依据2002年保险法无法受偿，但新保险法作出了不同规定。人民法院应当准确适用“有利法律溯及既往”规则指导案件裁判方向，更好地保护公民、法人和其他组织的合法权益。在具体法律适用技术上，通过解释《继承法》第七条关于丧失继承权从而排除受益权的方法，排除作为杀害被继承人凶手的受益人资格，从而认定其他受益人系被保险人的合法继承人，依法享有获得被继承人保险金的权利。</w:t>
      </w:r>
    </w:p>
    <w:p w14:paraId="6B65151B">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b/>
          <w:bCs/>
          <w:color w:val="2C2C2C"/>
          <w:sz w:val="24"/>
          <w:szCs w:val="24"/>
        </w:rPr>
        <w:t>基本案情</w:t>
      </w:r>
    </w:p>
    <w:p w14:paraId="4F9E286F">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鲁某系原告鲁某某之父、高某某之子，其在被告某某人寿保险有限公司（以下简称“某保险公司”）处投保了一份黄金盔甲意外伤害保险  ,合同生效日为2006年3月15日，保险期为1年，基本保险金额为30万元  ,投保人和被保险人均为鲁某本人，身故保险金受益人为被保险人鲁某的法定继承人。意外伤害保险条款3.3.1条载明：若被保险人于本合同有效期内遭受意外事故，并自事故发生之日起180天内因该意外事故导致身故，我们（注：保险公司）将按合同所载的基本保险金额给付意外身故保险金，本合同终止，但以往已给付的意外残疾项目对应的残疾给付比例应予以扣除。</w:t>
      </w:r>
    </w:p>
    <w:p w14:paraId="3D7FCCD8">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2006年8月16日，投保人鲁某被其妻子吴某杀害，吴某因犯故意杀人罪，被判处有期徒刑十五年，剥夺政治权利四年。在本案审理期间，吴某表示，按照法律规定本人丧失继承权利，放弃参与诉讼。</w:t>
      </w:r>
    </w:p>
    <w:p w14:paraId="00DA9F0D">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2011年7月27日，原告鲁某某向被告某保险公司提出理赔申请，被告于同年8月19日作出拒赔通知书，理由是保险公司“责任免除”规定，受益人故意杀害或者伤害被保险人，保险公司不负保险责任。</w:t>
      </w:r>
    </w:p>
    <w:p w14:paraId="50FFDCE6">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鲁某死亡时，未留有遗嘱，其第一顺序继承人为其母亲高某某和儿子鲁某某。两原告诉至法院，要求判令被告某保险公司支付保险赔偿金30万元及承担诉讼费。</w:t>
      </w:r>
    </w:p>
    <w:p w14:paraId="4F881A71">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被告某保险公司辩称：1、涉案保险合同是投保人2006年3月份投保并成立，根据理赔申请材料，被保险人2006年8月16日死亡，保险合同应适用2002年保险法规定，按照该保险法规定，被告不应当承担保险责任  ；2、投保人和保险人在保险合同中第四条约定，受益人故意杀害被保险人的，保险人不应当理赔。</w:t>
      </w:r>
    </w:p>
    <w:p w14:paraId="2F557FE9">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上海市黄浦区人民法院于2012年12月10日作出（2012）黄浦民五(商 )初字第1868号民事判决：被告某保险公司应于本判决生效之日起十日内给付原告鲁某某、高某某保险金人民币30万元。</w:t>
      </w:r>
    </w:p>
    <w:p w14:paraId="138C4733">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一审宣判后，原、被告均未提起上诉。本案判决已生效。</w:t>
      </w:r>
    </w:p>
    <w:p w14:paraId="50935A6B">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裁判理由</w:t>
      </w:r>
    </w:p>
    <w:p w14:paraId="392C2E88">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法院生效裁判认为，本案主要争议焦点是原告之外的其他受益人故意杀害被保险人的，保险人是否应当向原告方赔偿。法院认为，鲁某在投保时未指定受益人，鲁某作为被保险人，其死亡后保险金作为被保险人的遗产，由保险人依照《中华人民共和国继承法》的规定履行给付保险金的义务。本案被保险人鲁某在意外伤害保险期间内，被其妻子吴某杀害，吴某因其故意杀害被继承人的行为，而丧失继承权。但原告鲁某某、高某某作为被保险人鲁某的第一顺序继承人依法享有继承被保险人鲁某保险金的权利。</w:t>
      </w:r>
    </w:p>
    <w:p w14:paraId="27A8E8DC">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关联索引</w:t>
      </w:r>
    </w:p>
    <w:p w14:paraId="57D7A9E0">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《中华人民共和国保险法》第42条（本案适用的是2002年施行的《中华人民共和国保险法》第64条）</w:t>
      </w:r>
    </w:p>
    <w:p w14:paraId="402F9946">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一审：上海市黄浦区人民法院（2012）黄浦民五（商）初字第1868号民事判决（2012年12月10日）</w:t>
      </w:r>
    </w:p>
    <w:p w14:paraId="4480DE46">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本案例文本已于2024年2月26日作出调整</w:t>
      </w:r>
    </w:p>
    <w:p w14:paraId="3099B3E7">
      <w:pPr>
        <w:spacing w:after="120" w:line="360" w:lineRule="auto"/>
        <w:ind w:firstLine="480"/>
        <w:rPr>
          <w:rFonts w:hint="eastAsia" w:ascii="微软雅黑" w:hAnsi="微软雅黑" w:eastAsia="微软雅黑" w:cs="微软雅黑"/>
          <w:color w:val="2C2C2C"/>
          <w:sz w:val="24"/>
          <w:szCs w:val="24"/>
        </w:rPr>
      </w:pPr>
    </w:p>
    <w:p w14:paraId="3E84EF2E">
      <w:pPr>
        <w:spacing w:after="120" w:line="360" w:lineRule="auto"/>
        <w:jc w:val="center"/>
        <w:rPr>
          <w:rFonts w:hint="eastAsia" w:ascii="微软雅黑" w:hAnsi="微软雅黑" w:eastAsia="微软雅黑" w:cs="微软雅黑"/>
          <w:b/>
          <w:bCs/>
          <w:color w:val="2C2C2C"/>
          <w:sz w:val="24"/>
          <w:szCs w:val="24"/>
          <w:lang w:val="en-US" w:eastAsia="zh-CN"/>
        </w:rPr>
      </w:pPr>
      <w:r>
        <w:rPr>
          <w:rFonts w:hint="eastAsia" w:ascii="微软雅黑" w:hAnsi="微软雅黑" w:eastAsia="微软雅黑" w:cs="微软雅黑"/>
          <w:b/>
          <w:bCs/>
          <w:color w:val="2C2C2C"/>
          <w:sz w:val="24"/>
          <w:szCs w:val="24"/>
          <w:lang w:val="en-US" w:eastAsia="zh-CN"/>
        </w:rPr>
        <w:t>8.邢某、郭某诉某保险公司人身保险合同纠纷案</w:t>
      </w:r>
    </w:p>
    <w:p w14:paraId="7DF43407">
      <w:pPr>
        <w:spacing w:after="120" w:line="360" w:lineRule="auto"/>
        <w:jc w:val="center"/>
        <w:rPr>
          <w:rFonts w:hint="eastAsia" w:ascii="微软雅黑" w:hAnsi="微软雅黑" w:eastAsia="微软雅黑" w:cs="微软雅黑"/>
          <w:b/>
          <w:bCs/>
          <w:color w:val="2C2C2C"/>
          <w:sz w:val="24"/>
          <w:szCs w:val="24"/>
          <w:lang w:val="en-US" w:eastAsia="zh-CN"/>
        </w:rPr>
      </w:pPr>
      <w:r>
        <w:rPr>
          <w:rFonts w:hint="eastAsia" w:ascii="微软雅黑" w:hAnsi="微软雅黑" w:eastAsia="微软雅黑" w:cs="微软雅黑"/>
          <w:b/>
          <w:bCs/>
          <w:color w:val="2C2C2C"/>
          <w:sz w:val="24"/>
          <w:szCs w:val="24"/>
        </w:rPr>
        <w:t>——</w:t>
      </w:r>
      <w:r>
        <w:rPr>
          <w:rFonts w:hint="eastAsia" w:ascii="微软雅黑" w:hAnsi="微软雅黑" w:eastAsia="微软雅黑" w:cs="微软雅黑"/>
          <w:b/>
          <w:bCs/>
          <w:color w:val="2C2C2C"/>
          <w:sz w:val="24"/>
          <w:szCs w:val="24"/>
          <w:lang w:val="en-US" w:eastAsia="zh-CN"/>
        </w:rPr>
        <w:t>保险案件中，近因原则在保险责任承担中的运用</w:t>
      </w:r>
    </w:p>
    <w:p w14:paraId="1256CF59">
      <w:pPr>
        <w:spacing w:after="120" w:line="360" w:lineRule="auto"/>
        <w:jc w:val="right"/>
        <w:rPr>
          <w:rFonts w:hint="eastAsia"/>
          <w:sz w:val="24"/>
          <w:szCs w:val="24"/>
          <w:lang w:val="en-US" w:eastAsia="zh-CN"/>
        </w:rPr>
      </w:pPr>
      <w:r>
        <w:rPr>
          <w:rFonts w:hint="eastAsia"/>
          <w:sz w:val="24"/>
          <w:szCs w:val="24"/>
          <w:lang w:val="en-US" w:eastAsia="zh-CN"/>
        </w:rPr>
        <w:t>2023-08-2-334-005</w:t>
      </w:r>
    </w:p>
    <w:p w14:paraId="3E5D61C4">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裁判要旨</w:t>
      </w:r>
    </w:p>
    <w:p w14:paraId="0D6AB8E1">
      <w:pPr>
        <w:spacing w:after="120" w:line="360" w:lineRule="auto"/>
        <w:ind w:firstLine="480"/>
        <w:rPr>
          <w:rFonts w:hint="eastAsia" w:cs="微软雅黑"/>
          <w:b/>
          <w:bCs/>
          <w:color w:val="2C2C2C"/>
          <w:sz w:val="24"/>
          <w:szCs w:val="24"/>
          <w:lang w:val="en-US" w:eastAsia="zh-CN"/>
        </w:rPr>
      </w:pPr>
      <w:r>
        <w:rPr>
          <w:rFonts w:hint="eastAsia" w:ascii="微软雅黑" w:hAnsi="微软雅黑" w:eastAsia="微软雅黑" w:cs="微软雅黑"/>
          <w:color w:val="2C2C2C"/>
          <w:sz w:val="24"/>
          <w:szCs w:val="24"/>
        </w:rPr>
        <w:t>保险案件中，损失原因的确定对于决定保险人是否应承担保险责任至关重要。当一个损失结果存在数个致损原因时，则应当按近因原则来确定引起损失决定性和有效性的具体原因。</w:t>
      </w:r>
    </w:p>
    <w:p w14:paraId="1E5C7412">
      <w:pPr>
        <w:spacing w:after="120" w:line="360" w:lineRule="auto"/>
        <w:ind w:firstLine="480"/>
        <w:rPr>
          <w:rFonts w:hint="default" w:ascii="微软雅黑" w:hAnsi="微软雅黑" w:eastAsia="微软雅黑" w:cs="微软雅黑"/>
          <w:b/>
          <w:bCs/>
          <w:color w:val="2C2C2C"/>
          <w:sz w:val="24"/>
          <w:szCs w:val="24"/>
          <w:lang w:val="en-US" w:eastAsia="zh-CN"/>
        </w:rPr>
      </w:pPr>
      <w:r>
        <w:rPr>
          <w:rFonts w:hint="eastAsia" w:cs="微软雅黑"/>
          <w:b/>
          <w:bCs/>
          <w:color w:val="2C2C2C"/>
          <w:sz w:val="24"/>
          <w:szCs w:val="24"/>
          <w:lang w:val="en-US" w:eastAsia="zh-CN"/>
        </w:rPr>
        <w:t>基本案情</w:t>
      </w:r>
    </w:p>
    <w:p w14:paraId="57580804">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原告邢某、郭某诉称，两原告系被保险人郭某某妻子、儿子，系郭某某第一顺序法定继承人。2010年12月，某仓储公司作为投保人为包括郭某某在内的22名员工投保了团体意外伤害保险，约定保险责任为意外伤害身故和残疾，身故保险金为20万元。2011年1月6日，被保险人郭某某在工地现场意外倒地，送医院救治无效后死亡，事故发生后，某仓储公司立即向被告保险公司报案，被告保险公司亦派员至现场勘查。此后投保人代原告向被告保险公司申请理赔，被告保险公司不予赔付。故起诉要求被告保险公司赔偿医疗费用1,531.60元、身故保险金20万元。</w:t>
      </w:r>
    </w:p>
    <w:p w14:paraId="79123FBC">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被告保险公司辩称，郭某某系因高血压病三级导致脑出血死亡，不属于保险责任范围，被告不应承担赔偿责任。</w:t>
      </w:r>
    </w:p>
    <w:p w14:paraId="38F84643">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法院经审理查明：2010年12月9日，某仓储公司作为投保人，为其22名员工（含郭某某）向被告投保团体意外伤害保险及附加险，保险自 2010年12月10日零时起生效，保险期限12个月。团体意外伤害保险责任为意外伤害身故及残疾，22人保险金额共计4,400,000元；附加意外伤害团体医疗保险责任为意外住院和门急诊，22人保险金额共计880,000元；附加意外伤害住院团体收入保障保险责任为意外住院津贴，22人保险金额为158,400元。</w:t>
      </w:r>
    </w:p>
    <w:p w14:paraId="778A1511">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郭某某在某仓储公司工地担任勤杂工，负责管理工具和整理工具。2011年1月6日7时20分许，郭某某在将工具从工具箱中拿出时突然倒地</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经医院抢救无效，于当天13时30分许死亡。在医院抢救期间共发生医疗费1,531.60元。2011年1月6日，医院出具郭某某死亡医学证明书，直接死亡原因为脑出血，引起脑出血的疾病或情况为高血压病3级极高危组 。郭某某死亡后，投保人某仓储公司向被告报案，被告派员于2011年1月17日至工地现场向有关人员作了调查。2011年1月18日，人力资源和社会保障局作出工伤认定书，认定郭某某之死视同为工伤。2011年1月19日</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郭某某遗体被火化。</w:t>
      </w:r>
    </w:p>
    <w:p w14:paraId="533DE657">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郭某某之直系亲属只有父母与妻、子，其父母均已死亡，两原告系郭某某之妻、子，为郭某某法定共同受益人。</w:t>
      </w:r>
    </w:p>
    <w:p w14:paraId="4B8558FC">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团体意外伤害保险条款第五条规定：在保险期间内，被保险人因遭受意外伤害事故，并自事故发生之日起180日内因该事故身故的，保险人按意外伤害保险金额给付身故保险金。团体意外伤害保险条款第六条、附加意外伤害团体医疗保险条款第四条规定：因下列原因造成被保险人身故或残疾（医疗费用支出）的，保险人不承担给付保险金责任：（ 一 )投保人的故意行为； （二）被保险人自致伤害或自杀，但被保险人自杀为无民事行为能力人的除外；（三）因被保险人挑衅或故意行为而导致的打斗、被袭击或被谋杀；（四）被保险人妊娠、流产、分娩、疾病 、药物过敏、中暑、猝死；（五）被保险人接受整容手术及其他内、外科手术；（六）被保险人未遵医嘱，私自服用、涂用、注射药物；（七 )核爆炸、核辐射或核污染； （八）恐怖袭击；（九）被保险人犯罪或拒捕；（十）被保险人从事高风险运动或参加职业或半职业体育运动。团体意外伤害保险条款第二十五条规定：意外伤害是指以外来的、突发的、非本意的和非疾病的客观事件为直接且单独的原因致使身体受到的伤害。附加意外伤害团体医疗保险条款第三条规定：在保险期间内，被保险人遭受意外伤害事故，并在符合本条款第十二条释义的医院进行治疗，保险人就被保险人自事故发生之日起180日内实际支出的按照当地社会医疗保险主管部门规定可报销的、必要的、合理的医疗费用超过人民币100元的部分给付医疗保险金；被保险人如果已从其他途径获得补偿</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则保险人只承担合理医疗费用剩余部分的保险责任。</w:t>
      </w:r>
    </w:p>
    <w:p w14:paraId="3309DAF8">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上海市闵行区人民法院于2011年9月22日作出（2011）闵民四（商  )初字第135号民事判决： 一、被告某保险公司于本判决生效之日起十日内支付原告邢某、郭某保险金20万元；二、驳回原告邢某、郭某其余诉讼请求。宣判后，某保险公司不服一审判决，提起上诉。上海市第一中级人民法院于2011年12月13日作出民事判决：驳回上诉，维持原判。</w:t>
      </w:r>
    </w:p>
    <w:p w14:paraId="069A0D13">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裁判理由</w:t>
      </w:r>
    </w:p>
    <w:p w14:paraId="237DF225">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法院生效裁判认为，被保险人与被告之间的保险合同关系依法成立并生效，在发生了保险事故后，被告应按约承担保险责任，向被保险人赔付保险金。两原告作为法定受益人，有权主张本保险合同项下的保险权益。本案主要争议在于：一、被保险人死亡是否属于保险合同中约定的保险事故，被告是否应赔付身故保险金；二、郭某某之死在被认定为工伤后，被告是否还应赔偿医疗费。</w:t>
      </w:r>
    </w:p>
    <w:p w14:paraId="3DF89C28">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关于争议一，被告应赔偿身故保险金。理由是：根据保险法的规定 ,损失原因的确定对于决定保险人是否应承担保险责任至关重要，保险人对保险合同项下赔付责任的履行，取决于在符合保险合同规定的前提下，风险与损失之间的因果关系。当一个损失结果存在数个致损原因时 ,则必须确定引起损失决定性和有效性的原因，这就是保险法上的近因原则。根据保险条款的规定，保险人承保的风险是外来的、突发的、非本意的和非疾病的客观事件致使被保险人身体受到的伤害。保险条款将疾病作为除外责任，然而，疾病可以造成意外伤害，意外伤害也可以造成疾病。如果是除外责任的疾病造成意外事故，而意外事故再引起伤害或死亡，那么引起损失的近因就是意外事故。如果存在两个造成伤害的近因，其中一个属于明示的除外危险如某种疾病，这种情况下则需区别伤害或死亡是由疾病造成，还是疾病仅加重了其他原因所造成的伤害这两种不同情况。在前一种情况下，保险人不需承担赔偿责任；在第二种情况下，保险人仍需承担赔偿责任，因为疾病仅使被保险人更容易受到意外事故的伤害。本案中，就需区别这两种情况。</w:t>
      </w:r>
    </w:p>
    <w:p w14:paraId="2E764D35">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高血压是一种慢性的、基础性的疾病，一般情况下，患高血压病不会引起患者立即死亡。高血压导致患者死亡，必须要有一定的诱因，诸如精神、心理因素、外来刺激、过度疲劳、剧烈运动等。医院出具的死亡医学证明书，仅对郭某某死亡的病理原因作了描述，认为系脑出血</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引起脑出血的疾病或情况为高血压病。但死亡医学证明书对引起郭某某高血压病急性发作的原因是什么未作认定。郭某某存在高血压这个基础性疾病毋庸置疑，但高血压病是一种慢性病，在正常情况下，不会导致郭某某立即死亡，故引起郭某某高血压病急性发作的原因，才是导致郭某某死亡的真正原因。郭某某是在搬运工具的过程中倒地，经医院检查后发现存在脑出血，故此时存在两种可能性：一是由于脑出血导致郭某某倒地，二是郭某某倒地引发脑出血。如系第一种情况，保险人可不承担赔偿责任。如系第二种情况，则倒地才是被保险人死亡的近因，保险人应承担赔偿责任。但郭某某倒地过程无人目睹，且其遗体已被火化 ,火化前未做尸检，故郭某某之死究竟是由于倒地引起脑出血，还是由于脑出血倒地，目前已无法查清。如被告认为被保险人的死亡是由于潜在疾病引起而非由于倒地引起，应由被告方承担举证责任。但被告自得知事故发生之日至尸体火化时止，未向家属主张对被保险人进行尸体解剖，导致引起郭某某死亡的直接的、决定性的原因是什么目前已无法查明，被告应承担相应的不利后果。保险人认为高血压是郭某某死亡的直接原因，并引用除外条款拒绝赔偿，但未提供充分证据加以佐证，法院对此难以采信。</w:t>
      </w:r>
    </w:p>
    <w:p w14:paraId="04FB7C90">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关于争议二，保险条款规定，被保险人如果已从其他途径获得补偿 ,则保险人只承担合理医疗费用剩余部分的保险责任。本案中，郭某某之死已被认定为工伤，医疗费应由其单位负担，故被告可不负赔偿责任。</w:t>
      </w:r>
    </w:p>
    <w:p w14:paraId="32CF053B">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综上，两原告作为法定受益人要求被告赔付郭某某之死亡保险金 ,符合法律规定，予以支持。但两原告要求被告赔偿医疗费缺乏依据 ,不予支持。</w:t>
      </w:r>
    </w:p>
    <w:p w14:paraId="6228E8D8">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关联索引</w:t>
      </w:r>
    </w:p>
    <w:p w14:paraId="50D69090">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《中华人民共和国保险法》第14条、第42条第1款第（1）项</w:t>
      </w:r>
    </w:p>
    <w:p w14:paraId="6B73FF37">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一审：上海市闵行区人民法院（2011）闵民四（商）初字第134号民事判决（2011年9月22日）</w:t>
      </w:r>
    </w:p>
    <w:p w14:paraId="5B411B98">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二审：上海市第一中级人民法院（2011）沪一中民六（商）终字第193号民事判决（2011年12月13日）</w:t>
      </w:r>
    </w:p>
    <w:p w14:paraId="5985316F">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本案例文本已于2024年4月1日作出调整</w:t>
      </w:r>
    </w:p>
    <w:p w14:paraId="286AA914">
      <w:pPr>
        <w:spacing w:after="120" w:line="360" w:lineRule="auto"/>
        <w:ind w:firstLine="480"/>
        <w:rPr>
          <w:rFonts w:hint="eastAsia" w:ascii="微软雅黑" w:hAnsi="微软雅黑" w:eastAsia="微软雅黑" w:cs="微软雅黑"/>
          <w:color w:val="2C2C2C"/>
          <w:sz w:val="24"/>
          <w:szCs w:val="24"/>
        </w:rPr>
      </w:pPr>
    </w:p>
    <w:p w14:paraId="4A1AB8D6">
      <w:pPr>
        <w:spacing w:after="120" w:line="360" w:lineRule="auto"/>
        <w:jc w:val="center"/>
        <w:rPr>
          <w:rFonts w:hint="eastAsia" w:cs="微软雅黑"/>
          <w:b/>
          <w:bCs/>
          <w:color w:val="2C2C2C"/>
          <w:sz w:val="24"/>
          <w:szCs w:val="24"/>
          <w:lang w:val="en-US" w:eastAsia="zh-CN"/>
        </w:rPr>
      </w:pPr>
      <w:r>
        <w:rPr>
          <w:rFonts w:hint="eastAsia" w:cs="微软雅黑"/>
          <w:b/>
          <w:bCs/>
          <w:color w:val="2C2C2C"/>
          <w:sz w:val="24"/>
          <w:szCs w:val="24"/>
          <w:lang w:val="en-US" w:eastAsia="zh-CN"/>
        </w:rPr>
        <w:t>9.周某诉某某人寿保险公司人寿保险合同纠纷案</w:t>
      </w:r>
    </w:p>
    <w:p w14:paraId="6F1C7B8A">
      <w:pPr>
        <w:spacing w:after="120" w:line="360" w:lineRule="auto"/>
        <w:jc w:val="center"/>
        <w:rPr>
          <w:rFonts w:hint="eastAsia" w:cs="微软雅黑"/>
          <w:b/>
          <w:bCs/>
          <w:color w:val="2C2C2C"/>
          <w:sz w:val="24"/>
          <w:szCs w:val="24"/>
          <w:lang w:val="en-US" w:eastAsia="zh-CN"/>
        </w:rPr>
      </w:pPr>
      <w:r>
        <w:rPr>
          <w:rFonts w:hint="eastAsia" w:cs="微软雅黑"/>
          <w:b/>
          <w:bCs/>
          <w:color w:val="2C2C2C"/>
          <w:sz w:val="24"/>
          <w:szCs w:val="24"/>
          <w:lang w:val="en-US" w:eastAsia="zh-CN"/>
        </w:rPr>
        <w:t>——体检结论未对疾病确诊的， 一般不能认定投保人已知道其患有某种疾病</w:t>
      </w:r>
    </w:p>
    <w:p w14:paraId="1018395B">
      <w:pPr>
        <w:spacing w:after="120" w:line="360" w:lineRule="auto"/>
        <w:jc w:val="right"/>
        <w:rPr>
          <w:rFonts w:hint="eastAsia"/>
          <w:sz w:val="24"/>
          <w:szCs w:val="24"/>
          <w:lang w:val="en-US" w:eastAsia="zh-CN"/>
        </w:rPr>
      </w:pPr>
      <w:r>
        <w:rPr>
          <w:rFonts w:hint="eastAsia"/>
          <w:sz w:val="24"/>
          <w:szCs w:val="24"/>
          <w:lang w:val="en-US" w:eastAsia="zh-CN"/>
        </w:rPr>
        <w:t>2024-08-2-334-004</w:t>
      </w:r>
    </w:p>
    <w:p w14:paraId="39735F7A">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裁判要旨</w:t>
      </w:r>
    </w:p>
    <w:p w14:paraId="57D927BE">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中华人民共和国保险法》第十六条规定：投保人故意不履行如实告知义务的，保险人对于合同解除前发生的保险事故，不承担赔偿或者给付保险金的责任，并不退还保险费；投保人因重大过失未履行如实告知义务，对保险事故的发生有严重影响的，保险人对于合同解除前发生的保险事故，不承担赔偿或者给付保险金的责任，但应当退还保险费。投保人履行如实告知义务是保险的最大诚信原则所要求的，因重大过失的行为人欠缺一般人所应有的最起码的注意，其漠不关心的态度已达到极致，从而与故意的心理状态在客观的外在行为表现上的界限模糊。投保人故意还是重大过失未履行如实告知义务，是审判实践中的难点，也往往是案件的争议焦点，需要结合具体案件事实分析，通过投保人客观化的外在行为表现认定其主观心态。</w:t>
      </w:r>
    </w:p>
    <w:p w14:paraId="54EEFD1C">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基本案情</w:t>
      </w:r>
    </w:p>
    <w:p w14:paraId="7098B1EA">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原告周某诉称：2015年3月2日，周某在某某人寿保险公司（以下简称保险公司）购买《某康逸人生两全险》和《某康附加康逸人生重大疾病保险》（以下简称附加重疾险），保险合同生效时间为2015年3月3日  ,保险金额22万元，被保险人为周某，保险条款载明良性脑肿瘤和颅脑手术属于重大疾病；2015年12月30日，周某入院治疗糖尿病期间发现脑膜瘤，2016年2月29日入院治疗脑膜瘤并于2016年3月8日行神经导航左颞开颅肿瘤切除术；周某向保险公司理赔，保险公司于2016年4月27日出具理赔决定通知书，以周某在投保时已患糖尿病、高血压未告知严重影响保险公司承保决定为由，不同意承担保险责任并要求解除保险合同；2016年5月5日，保险公司又向周某出具保险合同效力终止通知单，称保险合同自2016年5月3日起效力中止。故请求判令：1.保险公司支付周某保险金22万元；2.本案诉讼费用由保险公司负担。</w:t>
      </w:r>
    </w:p>
    <w:p w14:paraId="676E2CD3">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被告保险公司辩称：对签订保险合同、周某脑膜瘤治疗事实及保险公司拒赔情况均无异议，但周谋在投保时故意未履行如实告知义务，且未如实告知的事项足以影响保险公司是否同意承保或提高保险费率，故保险公司有权解除合同，不承担赔偿或给付保险金的责任，并不退还保险费。请求驳回周某的诉讼请求。</w:t>
      </w:r>
    </w:p>
    <w:p w14:paraId="65DCFB66">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法院经审理查明：周某于2014年2月25日体检，体检结论显示：舒张压偏高（92mmHg）；空腹血糖（GLU）偏高（7.85mmol／L）。2015年1月19日以周某名义在社区服务中心购买2盒非洛地平缓释片（该药用于治疗高血压），同日，周某的岳父在该社区卫生服务中心因高血压就诊，医生向其开具非洛地平缓释片2盒。2015年3月2日，周某向保险公司投保某康逸人生两全险和附加重疾险，约定投保人和被保险人为周某，保险合同生效日为2015年3月3日，保险金额为22万元，附加重疾险生效之日起 180日后，经医院初次确诊非因意外伤害导致罹患本附加合同所定义的重大疾病（包含良性脑肿瘤），保险公司向周某给付重大疾病保险金22万元。保单列明的询问事项中，在是否患有、被怀疑患有或接受治疗过如高血压、糖尿病等栏中周某均选择 “否”。周某在客户权益确认书中确认健康告知确实无误。2015年12月30日，周某因糖尿病住院治疗并发现存在脑膜瘤。入院记录中，周某主诉“发现血糖高1年余，下肢麻木1年  ”；住院治疗期间的诊疗记载看，周某 “1年前体检偶然发现查血糖高  ,初病无明显口干、多饮、多尿、多食、消瘦症状，外院考虑2型糖尿病可能，但周某未予重视，平日饮食不控制，多甜食、油腻，不检测血糖  ；发现血压升高1年”。 2016年2月29日，周某因脑膜瘤住院治疗，并于同年3月8日行神经导航下左颞开颅肿瘤切除术， 并经病理诊断明确为“颞部“非典型脑膜瘤（WHO Ⅱ级）（保险公司认可该疾病属于良性脑膜瘤）。2016年3月30日，周某向保险公司申请理赔，保险公司作出理赔决定通知书，以周某投保时已患有糖尿病、高血压病，在投保时未履行如实告知义务，严重影响了保险公司的承保决定为由，解除保险合同并不承担保险责任。</w:t>
      </w:r>
    </w:p>
    <w:p w14:paraId="4D02E784">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江苏省无锡市梁溪区人民法院于2016年12月12日作出（2016）苏0203民初2640号民事判决：保险公司应于本判决发生法律效力之日起10日内赔偿周某保险金22万元。宣判后，双方当事人均未提出上诉，判决已发生法律效力。</w:t>
      </w:r>
    </w:p>
    <w:p w14:paraId="49C5AEA8">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裁判理由</w:t>
      </w:r>
    </w:p>
    <w:p w14:paraId="100401B3">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法院生效裁判认为，本案的争议焦点为，周某在投保时是否故意未如实告知保险公司自身患有糖尿病、高血压。法院认为，周某在投保时不存在故意未如实告知保险公司其患有糖尿病、高血压的事实。具体理由为：1、周某投保前的体检报告上仅显示“舒张压偏高（92mmHg）；空腹血糖（GLU）偏高（7.85mmol／L）”等，保险公司亦认可体检报告不能证明相关疾病的确诊，在医院并未确诊其患有高血压、糖尿病的情况下，周某作为一个普通人，并无法判断其是否已经罹患高血压、糖尿病  ； 2、2015年1月19日，周某虽购买了2盒治疗高血压的药物，但自</w:t>
      </w:r>
    </w:p>
    <w:p w14:paraId="15C62B14">
      <w:pPr>
        <w:spacing w:after="120" w:line="360" w:lineRule="auto"/>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2013年起，周某也仅有一次配药记录，仅凭一次配药记录并不能证明周某即患有高血压病；3、从其投保后治疗糖尿病期间的主诉可以看出，周某 “1年前体检偶然发现查血糖高，初病无明显口感、多饮、多尿、多食、消瘦症状，外院考虑2型糖尿病可能，但周某未予重视，平日饮食不控制，多甜食、油腻，不检测血糖；发现血压升高1年”，由此可见，周某在2015年12月30日前，并不确认自己已经患有糖尿病、高血压；4、申请理赔时，周某虽在出院记录中抹去了诊断为糖尿病、高血压的事实</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但该行为仅是发生在理赔过程中，无法以此推定周某在投保时已经明知自身患有糖尿病、高血压。综上，结合体检报告、就诊记录、配药记录及糖尿病、脑膜瘤治疗病历，均无法证明周某在投保前已经明知自身患有糖尿病、高血压。故周某在未被确诊是否患有糖尿病、高血压的情形下，在投保时未告知是否患有、被怀疑患有或接受治疗过糖尿病、高血压病，不存在故意未告知已患糖尿病、高血压的事实。综上，周某在投保时不存在故意未告知已患糖尿病、高血压的情形，保险公司予以承保后，周某按约交纳了保险费，保险公司应当履行在有效的保险合同期间内，按约支付保险金的义务。本案中，周某在保险合同生效180日后</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确诊患有脑膜瘤并实施了神经导航下左颞开颅肿瘤切除术，保险公司亦认可脑膜瘤属于保险合同约定的重大疾病范围，且保险公司未提供证据证明糖尿病、高血压对脑膜瘤的发生有严重影响，故保险公司无权以周某投保前患有高血压、糖尿病未如实告知为由解除合同，并应对保险合同期间发生的保险事故承担给付保险金的责任。保险公司辩称周某在投保前已患有甲状腺结节、脂肪肝、左心室肥大、特发性震颤等疾病</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但该疾病均与保险公司拒赔并解除合同的理由无关，故保险公司关于周某故意未履行如实告知义务，其已解除保险合同，不应支付保险金的抗辩，本院难以采纳。根据保险合同的约定，附加重疾险合同生效之日起180日后，经医院初次确诊非因意外伤害导致罹患良性脑肿瘤的，保险公司将按重疾险的保险金额向重大疾病保险金受益人给付重大疾病保险金，周某请求支付的保险金22万元不超过保险限额，予以支持。</w:t>
      </w:r>
    </w:p>
    <w:p w14:paraId="1DFAA54A">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关联索引</w:t>
      </w:r>
    </w:p>
    <w:p w14:paraId="0F4C023A">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《中华人民共和国保险法》第16条</w:t>
      </w:r>
    </w:p>
    <w:p w14:paraId="19A4C462">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一审：江苏省无锡市梁溪区人民法院（2016）苏0203民初2640号民事判决（2016年12月12日）</w:t>
      </w:r>
    </w:p>
    <w:p w14:paraId="02C9D151">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本案例文本已于2024年3月29日作出调整</w:t>
      </w:r>
    </w:p>
    <w:p w14:paraId="202E880C">
      <w:pPr>
        <w:spacing w:after="120" w:line="360" w:lineRule="auto"/>
        <w:jc w:val="center"/>
        <w:rPr>
          <w:rFonts w:hint="eastAsia" w:cs="微软雅黑"/>
          <w:b/>
          <w:bCs/>
          <w:color w:val="2C2C2C"/>
          <w:sz w:val="24"/>
          <w:szCs w:val="24"/>
          <w:lang w:val="en-US" w:eastAsia="zh-CN"/>
        </w:rPr>
      </w:pPr>
    </w:p>
    <w:p w14:paraId="0441F6B7">
      <w:pPr>
        <w:spacing w:after="120" w:line="360" w:lineRule="auto"/>
        <w:jc w:val="center"/>
        <w:rPr>
          <w:rFonts w:hint="eastAsia" w:cs="微软雅黑"/>
          <w:b/>
          <w:bCs/>
          <w:color w:val="2C2C2C"/>
          <w:sz w:val="24"/>
          <w:szCs w:val="24"/>
          <w:lang w:val="en-US" w:eastAsia="zh-CN"/>
        </w:rPr>
      </w:pPr>
      <w:r>
        <w:rPr>
          <w:rFonts w:hint="eastAsia" w:cs="微软雅黑"/>
          <w:b/>
          <w:bCs/>
          <w:color w:val="2C2C2C"/>
          <w:sz w:val="24"/>
          <w:szCs w:val="24"/>
          <w:lang w:val="en-US" w:eastAsia="zh-CN"/>
        </w:rPr>
        <w:t>10.何某某等诉某保险公司责任保险合同纠纷案</w:t>
      </w:r>
    </w:p>
    <w:p w14:paraId="40AC99A9">
      <w:pPr>
        <w:spacing w:after="120" w:line="360" w:lineRule="auto"/>
        <w:jc w:val="center"/>
        <w:rPr>
          <w:rFonts w:hint="eastAsia" w:cs="微软雅黑"/>
          <w:b/>
          <w:bCs/>
          <w:color w:val="2C2C2C"/>
          <w:sz w:val="24"/>
          <w:szCs w:val="24"/>
          <w:lang w:val="en-US" w:eastAsia="zh-CN"/>
        </w:rPr>
      </w:pPr>
      <w:r>
        <w:rPr>
          <w:rFonts w:hint="eastAsia" w:cs="微软雅黑"/>
          <w:b/>
          <w:bCs/>
          <w:color w:val="2C2C2C"/>
          <w:sz w:val="24"/>
          <w:szCs w:val="24"/>
          <w:lang w:val="en-US" w:eastAsia="zh-CN"/>
        </w:rPr>
        <w:t>——责任保险被保险人怠于请求赔偿保险金，第三者有权直接起诉保险人</w:t>
      </w:r>
    </w:p>
    <w:p w14:paraId="3C8F79DA">
      <w:pPr>
        <w:spacing w:after="120" w:line="360" w:lineRule="auto"/>
        <w:jc w:val="right"/>
        <w:rPr>
          <w:rFonts w:hint="eastAsia"/>
          <w:sz w:val="24"/>
          <w:szCs w:val="24"/>
          <w:lang w:val="en-US" w:eastAsia="zh-CN"/>
        </w:rPr>
      </w:pPr>
      <w:r>
        <w:rPr>
          <w:sz w:val="24"/>
          <w:szCs w:val="24"/>
          <w:lang w:val="en-US" w:eastAsia="zh-CN"/>
        </w:rPr>
        <w:t>2024-08-2-334-003</w:t>
      </w:r>
    </w:p>
    <w:p w14:paraId="796DDC9E">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裁判要旨</w:t>
      </w:r>
    </w:p>
    <w:p w14:paraId="6021FA25">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根据保险法第六十五条第二款的规定，第三者有权就其应获赔偿部分直接向保险人请求赔偿保险金取决于两个条件：一是被保险人对第三者应负的赔偿责任确定；二是被保险人怠于请求赔偿保险金。在被保险人对第三者应负的赔偿责任确定的情况下，如被保险人“怠于请求”赔偿保险金，则第三者有权直接向保险人提出赔偿请求。</w:t>
      </w:r>
    </w:p>
    <w:p w14:paraId="7FF9FEF2">
      <w:pPr>
        <w:spacing w:after="120" w:line="360" w:lineRule="auto"/>
        <w:ind w:firstLine="480" w:firstLineChars="200"/>
        <w:jc w:val="both"/>
        <w:rPr>
          <w:rFonts w:hint="default" w:cs="微软雅黑"/>
          <w:b/>
          <w:bCs/>
          <w:color w:val="2C2C2C"/>
          <w:sz w:val="24"/>
          <w:szCs w:val="24"/>
          <w:lang w:val="en-US" w:eastAsia="zh-CN"/>
        </w:rPr>
      </w:pPr>
      <w:r>
        <w:rPr>
          <w:rFonts w:hint="eastAsia"/>
          <w:b/>
          <w:bCs/>
          <w:sz w:val="24"/>
          <w:szCs w:val="24"/>
          <w:lang w:val="en-US" w:eastAsia="zh-CN"/>
        </w:rPr>
        <w:t>基本案情</w:t>
      </w:r>
    </w:p>
    <w:p w14:paraId="19F0F14A">
      <w:pPr>
        <w:spacing w:after="120" w:line="360" w:lineRule="auto"/>
        <w:ind w:firstLine="480" w:firstLineChars="20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原告何某某、张某甲、张某乙诉称：2014年6月23日20时许，殷某甲 、殷某乙在某石料场违规实施爆破作业引发飞石，将正在该石料场开采区办公室内的张某某砸伤，后经抢救无效死亡。某石料场于2014年6月3日为死者张某某在某保险公司投保了安全生产责任保险，某保险公司应在保险责任限额内承担赔偿责任。因某保险公司拒不支付保险赔偿金</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特诉至法院，请求判令某保险公司支付保险金515100元；诉讼费及其他费用由某保险公司承担。</w:t>
      </w:r>
    </w:p>
    <w:p w14:paraId="30B45D45">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某保险公司辩称：何某某等直接诉请保险公司要求赔偿没有法律依据；被保险人应取得安全生产相关许可而未取得的及其重大过失行为所发生的赔偿责任，保险人不负责赔偿，被保险人或何某某等应提供与安全生产相关的资质证明来确定本次事故构成保险责任；何某某等主张的诉讼费用及其他费用不属于保险合同的责任赔偿范围。</w:t>
      </w:r>
    </w:p>
    <w:p w14:paraId="4259E475">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某石料场述称：根据保险法的相关规定以及合同相对性原则，某保险公司作为保险人应当向其履行给付保险金的义务，其在收到保险金之后再支付给何某某等；何某某等所诉请的损失均是由殷某甲、殷某乙违章作业所造成，他们应承担相应责任。</w:t>
      </w:r>
    </w:p>
    <w:p w14:paraId="2A61653B">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法院经审理查明：2014年6月3日，某石料场作为被保险人为自己的雇员在某保险公司投保了安全生产责任保险，保险标的为被保险人应承担的从业人员及第三者死亡赔偿金的经济赔偿责任；雇员清单已将张某某列入其中。某保险公司为某石料场出具的保险单载明：保险期间自2014年6月4日零时起至2015年6月3日二十四时止；每次事故责任限额为 6666666元，每人责任限额为515100元，保险人对列入投保名单的从业人员按照每人死亡责任限额赔付。所附保险条款责任免除部分规定，保险人不负责赔偿下列损失、费用和责任：被保险人及其从业人员的故意行为、犯罪行为、重大过失行为所发生的赔偿责任；被保险人应该取得安全生产相关许可而未取得，或在政府有关部门责令停产、停业期间擅自生产经营期间造成的损失；被保险人、从业人员及第三者的任何间接损失。根据保险条款第20条的约定，保险人可以对被保险人遵守有关安全生产的法律法规及国家政府有关部门规定的情况进行检查。2014年6月23日20时许，某石料场的从业人员殷某甲、殷某在该石料场开采区内违规实施爆破作业，炸起飞石将正在该石料场开采区办公室内的张某某、刘某某砸伤，后张某某、刘某某均经抢救无效死亡。区政府成立的事故调查组对本次事故进行了调查并作出了事故调查报告，认定本次事故属于生产安全事故。经事故调查组调解，何某某等与某石料场就赔偿事宜于2014年7月10日达成协议，某石料场赔偿何某某等死亡赔偿金、抚养费 、丧葬费、误工费等共计700000元，现何某某等已实际收到200000元</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剩余的500000元约定从某保险公司赔付，保险金超出500000元的部分也应当支付给何某某等。截至起诉，某石料场尚未支付何某某等剩余的赔偿金，也未向某保险公司请求直接向何某某等赔偿保险金。</w:t>
      </w:r>
    </w:p>
    <w:p w14:paraId="6830A02D">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另查明，某石料场投保时提供的营业执照显示经营有效期至2014年5月21日，且2013、2014年度均未进行年检。</w:t>
      </w:r>
    </w:p>
    <w:p w14:paraId="23442D45">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山东省莱芜市钢城区人民法院于2015年1月29日作出（2014）钢商初字第395号民事判决：某保险公司于本判决生效之日起三日内赔偿何某某、张某甲、张某乙保险金515100元。宣判后，各方当事人均未提出上诉 ,判决已发生法律效力。</w:t>
      </w:r>
    </w:p>
    <w:p w14:paraId="4AFF5D13">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裁判理由</w:t>
      </w:r>
    </w:p>
    <w:p w14:paraId="1DE8C2FD">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法院生效裁判认为：某石料场、某保险公司之间签订的保险合同系双方真实意思表示，未违反法律法规，合法有效，合同双方当事人应当按照约定履行自己的义务。在保险期间内，某石料场在生产经营场所内从事生产经营活动中发生生产安全事故，造成雇员张某某死亡，某保险公司应当按照合同约定在保险金额范围内承担保险金的赔偿义务。合同所附保险条款是典型的格式条款，保险人在订立保险合同时必须就免除责任的内容向投保人进行提示并作出明确说明，否则免责条款不产生效力。本案就免除保险人责任的条款，某保险公司在订立合同时并未在投保单上作出足以引起投保人注意的提示；保险人对其履行了明确说明义务负举证责任，某保险公司没有举出已向某石料场明确说明的证据，仅凭打印在保险单上的投保人声明，不足以证明尽到了明确说明的义务。因此，某保险公司主张的免责条款不产生效力。从某保险公司所提免责抗辩的具体内容来看，生产安全事故一般均系重大过失所致，某保险公司不负责赔偿被保险人及其从业人员重大过失行为发生的赔偿责任免除提供格式条款一方的责任；除营业执照、组织机构代码证、安全生产许可证外，某保险公司在核保时并未要求某石料场提供爆破作业单位许可证、爆破作业人员许可证，保险事故理赔要求出具上述许可加重了投保人、被保险人的责任，违背了格式条款的提供者应当遵循公平原则确定双方权利义务的规定。某保险公司不严格审核被保险人安全生产的相关情况，允许投保时经营期限即已届满且两年未进行年检的被保险人准入 ,应该知道投保人即某石料场未就其实际经营状况履行如实告知义务</w:t>
      </w:r>
      <w:r>
        <w:rPr>
          <w:rFonts w:hint="eastAsia" w:cs="微软雅黑"/>
          <w:color w:val="2C2C2C"/>
          <w:sz w:val="24"/>
          <w:szCs w:val="24"/>
          <w:lang w:eastAsia="zh-CN"/>
        </w:rPr>
        <w:t>，</w:t>
      </w:r>
      <w:r>
        <w:rPr>
          <w:rFonts w:hint="eastAsia" w:ascii="微软雅黑" w:hAnsi="微软雅黑" w:eastAsia="微软雅黑" w:cs="微软雅黑"/>
          <w:color w:val="2C2C2C"/>
          <w:sz w:val="24"/>
          <w:szCs w:val="24"/>
        </w:rPr>
        <w:t>却仍然收取保险费，放任被保险人从事不具有安全生产相关许可的作业活动，现又就被保险人应该取得安全生产相关许可而未取得提出免责抗辩，亦明显违背保险活动的诚实信用原则；根据《诉讼费用交纳办法  》的规定，诉讼费用的负担由人民法院根据谁败诉谁负担的一般原则决定。某石料场与某保险公司对间接损失的理解存有争议，应作不利于提供格式条款一方即被告的解释。综上所述，某保险公司所提免责条款无效，所有免责主张均不成立，应当对发生的保险事故承担赔偿保险金的责任。经事故调查组协商，赔偿协议确定了被保险人对张某某近亲属应负包括死亡赔偿金在内的赔偿责任及赔偿数额，且约定从某保险公司赔付的保险金超出500000元的部分也应当支付给何某某等，本案赔偿责任明确。根据保险条款和保险单的约定，某保险公司对死者张某某按照每人死亡责任限额即515100元赔付。自调解之日至今，时间长达6个月之久 ,某石料场作为被保险人未向何某某等支付剩余赔偿金，也一直未向保险人请求赔偿，其行为已构成“怠于请求”，何某某等有权就其应获赔偿部分直接向保险公司请求赔偿。</w:t>
      </w:r>
    </w:p>
    <w:p w14:paraId="22CD6E89">
      <w:pPr>
        <w:spacing w:after="120" w:line="360" w:lineRule="auto"/>
        <w:ind w:firstLine="480"/>
        <w:rPr>
          <w:rFonts w:hint="eastAsia" w:ascii="微软雅黑" w:hAnsi="微软雅黑" w:eastAsia="微软雅黑" w:cs="微软雅黑"/>
          <w:b/>
          <w:bCs/>
          <w:color w:val="2C2C2C"/>
          <w:sz w:val="24"/>
          <w:szCs w:val="24"/>
        </w:rPr>
      </w:pPr>
      <w:r>
        <w:rPr>
          <w:rFonts w:hint="eastAsia" w:ascii="微软雅黑" w:hAnsi="微软雅黑" w:eastAsia="微软雅黑" w:cs="微软雅黑"/>
          <w:b/>
          <w:bCs/>
          <w:color w:val="2C2C2C"/>
          <w:sz w:val="24"/>
          <w:szCs w:val="24"/>
        </w:rPr>
        <w:t>关联索引</w:t>
      </w:r>
    </w:p>
    <w:p w14:paraId="50BCABC8">
      <w:pPr>
        <w:spacing w:after="120" w:line="360" w:lineRule="auto"/>
        <w:ind w:firstLine="480"/>
        <w:rPr>
          <w:rFonts w:hint="eastAsia" w:ascii="微软雅黑" w:hAnsi="微软雅黑" w:eastAsia="微软雅黑" w:cs="微软雅黑"/>
          <w:color w:val="2C2C2C"/>
          <w:sz w:val="24"/>
          <w:szCs w:val="24"/>
        </w:rPr>
      </w:pPr>
      <w:r>
        <w:rPr>
          <w:rFonts w:hint="eastAsia" w:ascii="微软雅黑" w:hAnsi="微软雅黑" w:eastAsia="微软雅黑" w:cs="微软雅黑"/>
          <w:color w:val="2C2C2C"/>
          <w:sz w:val="24"/>
          <w:szCs w:val="24"/>
        </w:rPr>
        <w:t>《中华人民共和国保险法》第65条</w:t>
      </w:r>
    </w:p>
    <w:p w14:paraId="613D60AA">
      <w:pPr>
        <w:spacing w:after="120" w:line="360" w:lineRule="auto"/>
        <w:ind w:firstLine="480"/>
        <w:rPr>
          <w:rFonts w:hint="default" w:ascii="黑体" w:hAnsi="黑体" w:eastAsia="黑体" w:cs="黑体"/>
          <w:b/>
          <w:bCs/>
          <w:color w:val="1B3A5C"/>
          <w:sz w:val="24"/>
          <w:szCs w:val="24"/>
        </w:rPr>
      </w:pPr>
      <w:r>
        <w:rPr>
          <w:rFonts w:hint="eastAsia" w:ascii="微软雅黑" w:hAnsi="微软雅黑" w:eastAsia="微软雅黑" w:cs="微软雅黑"/>
          <w:color w:val="2C2C2C"/>
          <w:sz w:val="24"/>
          <w:szCs w:val="24"/>
        </w:rPr>
        <w:t>一审：山东省莱芜市钢城区人民法院（2014）钢商初字第395号民事判决（2015年1月2</w:t>
      </w:r>
      <w:r>
        <w:rPr>
          <w:rFonts w:hint="eastAsia" w:cs="微软雅黑"/>
          <w:color w:val="2C2C2C"/>
          <w:sz w:val="24"/>
          <w:szCs w:val="24"/>
          <w:lang w:val="en-US" w:eastAsia="zh-CN"/>
        </w:rPr>
        <w:t>9</w:t>
      </w:r>
      <w:r>
        <w:rPr>
          <w:rFonts w:hint="eastAsia" w:ascii="微软雅黑" w:hAnsi="微软雅黑" w:eastAsia="微软雅黑" w:cs="微软雅黑"/>
          <w:color w:val="2C2C2C"/>
          <w:sz w:val="24"/>
          <w:szCs w:val="24"/>
        </w:rPr>
        <w:t>日）</w:t>
      </w:r>
    </w:p>
    <w:p w14:paraId="0AC56A70">
      <w:pPr>
        <w:pStyle w:val="3"/>
        <w:keepNext/>
        <w:keepLines/>
        <w:spacing w:before="400" w:after="200"/>
        <w:rPr>
          <w:rFonts w:hint="default" w:ascii="黑体" w:hAnsi="黑体" w:eastAsia="黑体" w:cs="黑体"/>
          <w:b/>
          <w:bCs/>
          <w:color w:val="1B3A5C"/>
          <w:sz w:val="32"/>
          <w:szCs w:val="32"/>
        </w:rPr>
      </w:pPr>
    </w:p>
    <w:p w14:paraId="0ED459D7">
      <w:pPr>
        <w:pStyle w:val="3"/>
        <w:keepNext/>
        <w:keepLines/>
        <w:spacing w:before="400" w:after="200"/>
        <w:rPr>
          <w:rFonts w:hint="default" w:ascii="黑体" w:hAnsi="黑体" w:eastAsia="黑体" w:cs="黑体"/>
          <w:b/>
          <w:bCs/>
          <w:color w:val="1B3A5C"/>
          <w:sz w:val="32"/>
          <w:szCs w:val="32"/>
        </w:rPr>
      </w:pPr>
    </w:p>
    <w:p w14:paraId="615BE956">
      <w:pPr>
        <w:pStyle w:val="3"/>
        <w:keepNext/>
        <w:keepLines/>
        <w:spacing w:before="400" w:after="200"/>
        <w:rPr>
          <w:rFonts w:hint="default" w:ascii="黑体" w:hAnsi="黑体" w:eastAsia="黑体" w:cs="黑体"/>
          <w:b/>
          <w:bCs/>
          <w:color w:val="1B3A5C"/>
          <w:sz w:val="32"/>
          <w:szCs w:val="32"/>
        </w:rPr>
      </w:pPr>
    </w:p>
    <w:p w14:paraId="01500B75">
      <w:pPr>
        <w:pStyle w:val="3"/>
        <w:keepNext/>
        <w:keepLines/>
        <w:spacing w:before="400" w:after="200"/>
        <w:rPr>
          <w:rFonts w:hint="default" w:ascii="黑体" w:hAnsi="黑体" w:eastAsia="黑体" w:cs="黑体"/>
          <w:b/>
          <w:bCs/>
          <w:color w:val="1B3A5C"/>
          <w:sz w:val="32"/>
          <w:szCs w:val="32"/>
        </w:rPr>
      </w:pPr>
    </w:p>
    <w:p w14:paraId="01131B89">
      <w:pPr>
        <w:pStyle w:val="3"/>
        <w:keepNext/>
        <w:keepLines/>
        <w:spacing w:before="400" w:after="200"/>
        <w:rPr>
          <w:rFonts w:hint="default" w:ascii="黑体" w:hAnsi="黑体" w:eastAsia="黑体" w:cs="黑体"/>
          <w:b/>
          <w:bCs/>
          <w:color w:val="1B3A5C"/>
          <w:sz w:val="32"/>
          <w:szCs w:val="32"/>
        </w:rPr>
      </w:pPr>
    </w:p>
    <w:p w14:paraId="0F60EAB0">
      <w:pPr>
        <w:pStyle w:val="3"/>
        <w:keepNext/>
        <w:keepLines/>
        <w:spacing w:before="400" w:after="200"/>
        <w:rPr>
          <w:rFonts w:hint="default" w:ascii="黑体" w:hAnsi="黑体" w:eastAsia="黑体" w:cs="黑体"/>
          <w:b/>
          <w:bCs/>
          <w:color w:val="1B3A5C"/>
          <w:sz w:val="32"/>
          <w:szCs w:val="32"/>
        </w:rPr>
      </w:pPr>
    </w:p>
    <w:p w14:paraId="04F98C6E">
      <w:pPr>
        <w:pStyle w:val="3"/>
        <w:keepNext/>
        <w:keepLines/>
        <w:spacing w:before="400" w:after="200"/>
        <w:rPr>
          <w:rFonts w:hint="default" w:ascii="黑体" w:hAnsi="黑体" w:eastAsia="黑体" w:cs="黑体"/>
          <w:b/>
          <w:bCs/>
          <w:color w:val="1B3A5C"/>
          <w:sz w:val="32"/>
          <w:szCs w:val="32"/>
        </w:rPr>
      </w:pPr>
    </w:p>
    <w:p w14:paraId="094072DA">
      <w:pPr>
        <w:pStyle w:val="3"/>
        <w:keepNext/>
        <w:keepLines/>
        <w:spacing w:before="400" w:after="200"/>
        <w:rPr>
          <w:rFonts w:hint="default" w:ascii="黑体" w:hAnsi="黑体" w:eastAsia="黑体" w:cs="黑体"/>
          <w:b/>
          <w:bCs/>
          <w:color w:val="1B3A5C"/>
          <w:sz w:val="32"/>
          <w:szCs w:val="32"/>
        </w:rPr>
      </w:pPr>
    </w:p>
    <w:p w14:paraId="0E5591E9">
      <w:pPr>
        <w:rPr>
          <w:rFonts w:hint="default" w:ascii="黑体" w:hAnsi="黑体" w:eastAsia="黑体" w:cs="黑体"/>
          <w:b/>
          <w:bCs/>
          <w:color w:val="1B3A5C"/>
          <w:sz w:val="32"/>
          <w:szCs w:val="32"/>
        </w:rPr>
      </w:pPr>
    </w:p>
    <w:p w14:paraId="1EDACC3D">
      <w:pPr>
        <w:rPr>
          <w:rFonts w:hint="default" w:ascii="黑体" w:hAnsi="黑体" w:eastAsia="黑体" w:cs="黑体"/>
          <w:b/>
          <w:bCs/>
          <w:color w:val="1B3A5C"/>
          <w:sz w:val="32"/>
          <w:szCs w:val="32"/>
        </w:rPr>
      </w:pPr>
    </w:p>
    <w:p w14:paraId="21440D24">
      <w:pPr>
        <w:rPr>
          <w:rFonts w:hint="default" w:ascii="黑体" w:hAnsi="黑体" w:eastAsia="黑体" w:cs="黑体"/>
          <w:b/>
          <w:bCs/>
          <w:color w:val="1B3A5C"/>
          <w:sz w:val="32"/>
          <w:szCs w:val="32"/>
        </w:rPr>
      </w:pPr>
    </w:p>
    <w:p w14:paraId="7951ADCB">
      <w:pPr>
        <w:pStyle w:val="3"/>
        <w:keepNext/>
        <w:keepLines/>
        <w:spacing w:before="400" w:after="200"/>
      </w:pPr>
      <w:r>
        <w:rPr>
          <w:rFonts w:hint="default" w:ascii="黑体" w:hAnsi="黑体" w:eastAsia="黑体" w:cs="黑体"/>
          <w:b/>
          <w:bCs/>
          <w:color w:val="1B3A5C"/>
          <w:sz w:val="32"/>
          <w:szCs w:val="32"/>
        </w:rPr>
        <w:t>专题</w:t>
      </w:r>
      <w:r>
        <w:rPr>
          <w:rFonts w:hint="eastAsia" w:cs="黑体"/>
          <w:b/>
          <w:bCs/>
          <w:color w:val="1B3A5C"/>
          <w:sz w:val="32"/>
          <w:szCs w:val="32"/>
          <w:lang w:val="en-US" w:eastAsia="zh-CN"/>
        </w:rPr>
        <w:t>三</w:t>
      </w:r>
      <w:r>
        <w:rPr>
          <w:rFonts w:hint="default" w:ascii="黑体" w:hAnsi="黑体" w:eastAsia="黑体" w:cs="黑体"/>
          <w:b/>
          <w:bCs/>
          <w:color w:val="1B3A5C"/>
          <w:sz w:val="32"/>
          <w:szCs w:val="32"/>
        </w:rPr>
        <w:t>：</w:t>
      </w:r>
      <w:r>
        <w:rPr>
          <w:rFonts w:ascii="黑体" w:hAnsi="黑体" w:eastAsia="黑体" w:cs="黑体"/>
          <w:b/>
          <w:bCs/>
          <w:color w:val="1B3A5C"/>
          <w:sz w:val="32"/>
          <w:szCs w:val="32"/>
        </w:rPr>
        <w:t>法答网精选——金融保险相关答疑摘录</w:t>
      </w:r>
    </w:p>
    <w:p w14:paraId="6085D886">
      <w:pPr>
        <w:spacing w:after="120" w:line="360" w:lineRule="auto"/>
        <w:ind w:firstLine="480"/>
        <w:rPr>
          <w:rFonts w:hint="eastAsia" w:ascii="微软雅黑" w:hAnsi="微软雅黑" w:eastAsia="微软雅黑" w:cs="微软雅黑"/>
          <w:color w:val="2C2C2C"/>
          <w:sz w:val="24"/>
          <w:szCs w:val="24"/>
          <w:lang w:eastAsia="zh-CN"/>
        </w:rPr>
      </w:pPr>
      <w:r>
        <w:rPr>
          <w:rFonts w:ascii="微软雅黑" w:hAnsi="微软雅黑" w:eastAsia="微软雅黑" w:cs="微软雅黑"/>
          <w:b/>
          <w:bCs/>
          <w:color w:val="2C2C2C"/>
          <w:sz w:val="24"/>
          <w:szCs w:val="24"/>
        </w:rPr>
        <w:t>编者按</w:t>
      </w:r>
      <w:r>
        <w:rPr>
          <w:rFonts w:hint="default" w:ascii="微软雅黑" w:hAnsi="微软雅黑" w:eastAsia="微软雅黑" w:cs="微软雅黑"/>
          <w:b/>
          <w:bCs/>
          <w:color w:val="2C2C2C"/>
          <w:sz w:val="24"/>
          <w:szCs w:val="24"/>
        </w:rPr>
        <w:t>：</w:t>
      </w:r>
      <w:r>
        <w:rPr>
          <w:rFonts w:hint="default" w:ascii="微软雅黑" w:hAnsi="微软雅黑" w:eastAsia="微软雅黑" w:cs="微软雅黑"/>
          <w:color w:val="2C2C2C"/>
          <w:sz w:val="24"/>
          <w:szCs w:val="24"/>
        </w:rPr>
        <w:t>法答网是最高人民法院建设的全国法院统一法律适用平台，以下摘录金融保险相关精选答疑</w:t>
      </w:r>
      <w:r>
        <w:rPr>
          <w:rFonts w:hint="eastAsia" w:cs="微软雅黑"/>
          <w:color w:val="2C2C2C"/>
          <w:sz w:val="24"/>
          <w:szCs w:val="24"/>
          <w:lang w:eastAsia="zh-CN"/>
        </w:rPr>
        <w:t>。</w:t>
      </w:r>
    </w:p>
    <w:p w14:paraId="28BB686E">
      <w:pPr>
        <w:spacing w:after="120" w:line="360" w:lineRule="auto"/>
        <w:ind w:firstLine="480"/>
        <w:rPr>
          <w:rFonts w:hint="default" w:ascii="微软雅黑" w:hAnsi="微软雅黑" w:eastAsia="微软雅黑" w:cs="微软雅黑"/>
          <w:b/>
          <w:bCs/>
          <w:color w:val="2C2C2C"/>
          <w:sz w:val="24"/>
          <w:szCs w:val="24"/>
        </w:rPr>
      </w:pPr>
      <w:r>
        <w:rPr>
          <w:rFonts w:hint="default" w:ascii="微软雅黑" w:hAnsi="微软雅黑" w:eastAsia="微软雅黑" w:cs="微软雅黑"/>
          <w:b/>
          <w:bCs/>
          <w:color w:val="2C2C2C"/>
          <w:sz w:val="24"/>
          <w:szCs w:val="24"/>
        </w:rPr>
        <w:t>答疑一：雇主为员工购买的团体意外险保险金能否冲抵雇主赔偿责任？</w:t>
      </w:r>
    </w:p>
    <w:p w14:paraId="514E6CE5">
      <w:pPr>
        <w:spacing w:after="120" w:line="360" w:lineRule="auto"/>
        <w:ind w:firstLine="480"/>
        <w:rPr>
          <w:rFonts w:hint="default" w:ascii="微软雅黑" w:hAnsi="微软雅黑" w:eastAsia="微软雅黑" w:cs="微软雅黑"/>
          <w:b w:val="0"/>
          <w:bCs w:val="0"/>
          <w:color w:val="2C2C2C"/>
          <w:sz w:val="24"/>
          <w:szCs w:val="24"/>
          <w:lang w:val="en-US" w:eastAsia="zh-CN"/>
        </w:rPr>
      </w:pPr>
      <w:r>
        <w:rPr>
          <w:rFonts w:hint="default" w:ascii="微软雅黑" w:hAnsi="微软雅黑" w:eastAsia="微软雅黑" w:cs="微软雅黑"/>
          <w:b/>
          <w:bCs/>
          <w:color w:val="2C2C2C"/>
          <w:sz w:val="24"/>
          <w:szCs w:val="24"/>
          <w:lang w:val="en-US" w:eastAsia="zh-CN"/>
        </w:rPr>
        <w:t>答疑意见：</w:t>
      </w:r>
      <w:r>
        <w:rPr>
          <w:rFonts w:hint="default" w:ascii="微软雅黑" w:hAnsi="微软雅黑" w:eastAsia="微软雅黑" w:cs="微软雅黑"/>
          <w:b w:val="0"/>
          <w:bCs w:val="0"/>
          <w:color w:val="2C2C2C"/>
          <w:sz w:val="24"/>
          <w:szCs w:val="24"/>
          <w:lang w:val="en-US" w:eastAsia="zh-CN"/>
        </w:rPr>
        <w:t>一是关于借款人的确定问题。在实际借款人委托名义借款人借款场合，应当依据《民法典》第925条、第926条有关间接代理的规定来确定借款合同的当事人，即视出借人在订立借款合同时是否知情来作不同处理：出借人在签订借款合同时知道或者应当知道其与实际用款人之间的代理关系的，应当认定实际用款人是借款人，除非出借人有确切证据证明借款合同只约束名义借款人。出借人对代理关系不知情的，应当认定名义借款人是借款人；名义借款人披露实际借款人的，出借人有权选择名义借款人或者实际借款人作为相对人。</w:t>
      </w:r>
    </w:p>
    <w:p w14:paraId="6BC6C110">
      <w:pPr>
        <w:spacing w:after="120" w:line="360" w:lineRule="auto"/>
        <w:ind w:firstLine="480"/>
        <w:rPr>
          <w:rFonts w:hint="default" w:ascii="微软雅黑" w:hAnsi="微软雅黑" w:eastAsia="微软雅黑" w:cs="微软雅黑"/>
          <w:b w:val="0"/>
          <w:bCs w:val="0"/>
          <w:color w:val="2C2C2C"/>
          <w:sz w:val="24"/>
          <w:szCs w:val="24"/>
          <w:lang w:val="en-US" w:eastAsia="zh-CN"/>
        </w:rPr>
      </w:pPr>
      <w:r>
        <w:rPr>
          <w:rFonts w:hint="default" w:ascii="微软雅黑" w:hAnsi="微软雅黑" w:eastAsia="微软雅黑" w:cs="微软雅黑"/>
          <w:b w:val="0"/>
          <w:bCs w:val="0"/>
          <w:color w:val="2C2C2C"/>
          <w:sz w:val="24"/>
          <w:szCs w:val="24"/>
          <w:lang w:val="en-US" w:eastAsia="zh-CN"/>
        </w:rPr>
        <w:t>二是关于借款合同效力问题。若将实际借款人认定为贷款诈骗犯罪，意味着刑事判决已经认定实际借款人为借款人。如果民事诉讼也作相同的认定，如何认定构成贷款诈骗罪的合同效力问题，属于典型的刑民交叉问题。我们认为，此时要依据《民法典》有关法律行为效力的规则来认定合同效力，即依据《民法典》第148条有关欺诈的规定，认定为可撤销合同。但是，刑事判决认定实际借款人贷款诈骗犯罪，并不等同于民事诉讼也必须认定借款合同发生在贷款人和实际借用人之间。在行为的效果归属问题上，仍然要依据《民法典》第925条、第926条来确定借款合同的当事人。如果民事判决认定名义借款人是借款人的，此时实际借款人构成贷款诈骗罪似不影响借款合同的效力。</w:t>
      </w:r>
    </w:p>
    <w:p w14:paraId="48471205">
      <w:pPr>
        <w:spacing w:after="120" w:line="360" w:lineRule="auto"/>
        <w:ind w:firstLine="480"/>
        <w:rPr>
          <w:rFonts w:hint="default" w:ascii="微软雅黑" w:hAnsi="微软雅黑" w:eastAsia="微软雅黑" w:cs="微软雅黑"/>
          <w:b w:val="0"/>
          <w:bCs w:val="0"/>
          <w:color w:val="2C2C2C"/>
          <w:sz w:val="24"/>
          <w:szCs w:val="24"/>
          <w:lang w:val="en-US" w:eastAsia="zh-CN"/>
        </w:rPr>
      </w:pPr>
      <w:r>
        <w:rPr>
          <w:rFonts w:hint="default" w:ascii="微软雅黑" w:hAnsi="微软雅黑" w:eastAsia="微软雅黑" w:cs="微软雅黑"/>
          <w:b w:val="0"/>
          <w:bCs w:val="0"/>
          <w:color w:val="2C2C2C"/>
          <w:sz w:val="24"/>
          <w:szCs w:val="24"/>
          <w:lang w:val="en-US" w:eastAsia="zh-CN"/>
        </w:rPr>
        <w:t>三是关于名义借款人的责任及其与刑事责任的协调问题。如果合同关系发生在实际借款人和贷款人之间，因名义借款人不是合同当事人，不承担借款合同项下的责任。如果认定合同关系发生在名义借款人与贷款人之间，则名义借款人承担借款合同项下的还本付息责任，实际借款人承担退赃退赔责任，二者构成不真正连带责任，不存在比例责任或补充责任的问题。此时，人民法院要在执行环节做好协调工作，避免债权人重复受偿。</w:t>
      </w:r>
    </w:p>
    <w:p w14:paraId="66EBA756">
      <w:pPr>
        <w:spacing w:after="120" w:line="360" w:lineRule="auto"/>
        <w:ind w:firstLine="480"/>
        <w:rPr>
          <w:rFonts w:hint="default" w:ascii="微软雅黑" w:hAnsi="微软雅黑" w:eastAsia="微软雅黑" w:cs="微软雅黑"/>
          <w:b/>
          <w:bCs/>
          <w:color w:val="2C2C2C"/>
          <w:sz w:val="24"/>
          <w:szCs w:val="24"/>
        </w:rPr>
      </w:pPr>
      <w:r>
        <w:rPr>
          <w:rFonts w:hint="default" w:ascii="微软雅黑" w:hAnsi="微软雅黑" w:eastAsia="微软雅黑" w:cs="微软雅黑"/>
          <w:b/>
          <w:bCs/>
          <w:color w:val="2C2C2C"/>
          <w:sz w:val="24"/>
          <w:szCs w:val="24"/>
        </w:rPr>
        <w:t>答疑二：</w:t>
      </w:r>
      <w:r>
        <w:rPr>
          <w:rFonts w:hint="default" w:ascii="微软雅黑" w:hAnsi="微软雅黑" w:eastAsia="微软雅黑" w:cs="微软雅黑"/>
          <w:b/>
          <w:bCs/>
          <w:color w:val="2C2C2C"/>
          <w:sz w:val="24"/>
          <w:szCs w:val="24"/>
          <w:lang w:val="en-US" w:eastAsia="zh-CN"/>
        </w:rPr>
        <w:t xml:space="preserve">当事人对还款的清偿顺序未做约定，金融借款合同到期后，在借款人欠付本金、利息、实现债权的费用外，还应支付违约金的情形下，当所还款项不足以清偿全部债务，其抵充顺序如何认定？ </w:t>
      </w:r>
    </w:p>
    <w:p w14:paraId="254F7AB1">
      <w:pPr>
        <w:spacing w:after="120" w:line="360" w:lineRule="auto"/>
        <w:ind w:firstLine="480"/>
        <w:rPr>
          <w:rFonts w:hint="default" w:ascii="微软雅黑" w:hAnsi="微软雅黑" w:eastAsia="微软雅黑" w:cs="微软雅黑"/>
          <w:color w:val="2C2C2C"/>
          <w:sz w:val="24"/>
          <w:szCs w:val="24"/>
        </w:rPr>
      </w:pPr>
      <w:r>
        <w:rPr>
          <w:rFonts w:hint="default" w:ascii="微软雅黑" w:hAnsi="微软雅黑" w:eastAsia="微软雅黑" w:cs="微软雅黑"/>
          <w:b/>
          <w:bCs/>
          <w:color w:val="2C2C2C"/>
          <w:sz w:val="24"/>
          <w:szCs w:val="24"/>
        </w:rPr>
        <w:t>答疑意见：</w:t>
      </w:r>
      <w:r>
        <w:rPr>
          <w:rFonts w:hint="default" w:ascii="微软雅黑" w:hAnsi="微软雅黑" w:eastAsia="微软雅黑" w:cs="微软雅黑"/>
          <w:color w:val="2C2C2C"/>
          <w:sz w:val="24"/>
          <w:szCs w:val="24"/>
          <w:lang w:val="en-US" w:eastAsia="zh-CN"/>
        </w:rPr>
        <w:t xml:space="preserve">应按实现债权的费用→利息→违约金→主债务确定清偿抵充顺序。利息与违约金均系资金占用损失或使用利益，实践中普遍存在违约金、逾期利息、罚息等名词混用的情形，违约金和逾期利息也往往存在重合。因此，金融借款合同中，宜将违约金与利息作同一类概念考虑。从民法典第561条的规定来看，应倾向于保护守约方。由于借款人违约在先，应作有利于债权人的解释，先抵扣违约金再冲抵本金。 </w:t>
      </w:r>
    </w:p>
    <w:p w14:paraId="3153D7BD">
      <w:pPr>
        <w:spacing w:after="120" w:line="360" w:lineRule="auto"/>
        <w:ind w:firstLine="480"/>
        <w:rPr>
          <w:rFonts w:hint="default" w:ascii="微软雅黑" w:hAnsi="微软雅黑" w:eastAsia="微软雅黑" w:cs="微软雅黑"/>
          <w:b/>
          <w:bCs/>
          <w:color w:val="2C2C2C"/>
          <w:sz w:val="24"/>
          <w:szCs w:val="24"/>
          <w:lang w:val="en-US" w:eastAsia="zh-CN"/>
        </w:rPr>
      </w:pPr>
      <w:r>
        <w:rPr>
          <w:rFonts w:hint="default" w:ascii="微软雅黑" w:hAnsi="微软雅黑" w:eastAsia="微软雅黑" w:cs="微软雅黑"/>
          <w:b/>
          <w:bCs/>
          <w:color w:val="2C2C2C"/>
          <w:sz w:val="24"/>
          <w:szCs w:val="24"/>
        </w:rPr>
        <w:t>答疑</w:t>
      </w:r>
      <w:r>
        <w:rPr>
          <w:rFonts w:hint="eastAsia" w:cs="微软雅黑"/>
          <w:b/>
          <w:bCs/>
          <w:color w:val="2C2C2C"/>
          <w:sz w:val="24"/>
          <w:szCs w:val="24"/>
          <w:lang w:val="en-US" w:eastAsia="zh-CN"/>
        </w:rPr>
        <w:t>三</w:t>
      </w:r>
      <w:r>
        <w:rPr>
          <w:rFonts w:hint="default" w:ascii="微软雅黑" w:hAnsi="微软雅黑" w:eastAsia="微软雅黑" w:cs="微软雅黑"/>
          <w:b/>
          <w:bCs/>
          <w:color w:val="2C2C2C"/>
          <w:sz w:val="24"/>
          <w:szCs w:val="24"/>
        </w:rPr>
        <w:t>：</w:t>
      </w:r>
      <w:r>
        <w:rPr>
          <w:rFonts w:hint="default" w:ascii="微软雅黑" w:hAnsi="微软雅黑" w:eastAsia="微软雅黑" w:cs="微软雅黑"/>
          <w:b/>
          <w:bCs/>
          <w:color w:val="2C2C2C"/>
          <w:sz w:val="24"/>
          <w:szCs w:val="24"/>
          <w:lang w:val="en-US" w:eastAsia="zh-CN"/>
        </w:rPr>
        <w:t>已投保车损险的机动车发生保险事故后，保险人能否以机动车未经维修拒绝理赔？</w:t>
      </w:r>
    </w:p>
    <w:p w14:paraId="4825D0DB">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b/>
          <w:bCs/>
          <w:color w:val="2C2C2C"/>
          <w:sz w:val="24"/>
          <w:szCs w:val="24"/>
        </w:rPr>
        <w:t>答疑意见：</w:t>
      </w:r>
      <w:r>
        <w:rPr>
          <w:rFonts w:hint="default" w:ascii="微软雅黑" w:hAnsi="微软雅黑" w:eastAsia="微软雅黑" w:cs="微软雅黑"/>
          <w:color w:val="2C2C2C"/>
          <w:sz w:val="24"/>
          <w:szCs w:val="24"/>
          <w:lang w:val="en-US" w:eastAsia="zh-CN"/>
        </w:rPr>
        <w:t>保险合同是确定当事人权利义务的依据，在保险合同有明确有效约定的情况下，应当依据约定处理。当前，我国保险公司普遍采用的是《中国保险行业协会机动车商业保险示范条款（2020版）》。该示范条款第十八条规定：“机动车损失赔款按以下方法计算：（一）全部损失。赔款＝保险金额－被保险人已从第三方获得的赔偿金额－绝对免赔额。（二）部分损失。被保险机动车发生部分损失，保险人按实际修复费用在保险金额内计算赔偿：赔款＝实际修复费用－被保险人已从第三方获得的赔偿金额－绝对免赔额。…”依据上述规定，在车辆发生全损（包括推定全损）的情形下，车辆是否维修不影响赔偿数额的确定，保险人不得以车辆未经维修拒赔；在车辆发生部分损失的情况下，“实际修复费用”是合同约定的计算赔款的因素，一般应经维修后予以赔付；虽未经维修，双方对以公估、鉴定等方式确定的车辆损失，均无异议的，保险人不得以未经维修拒赔。如未经维修且通过公估、鉴定等方式无法确定车辆损失或双方对公估、鉴定等方式确定的损失存在合理争议的，为防止借保险赔付获利、保险欺诈，以及未经维修车辆可能造成的交通事故风险，保险人以车辆未经维修拒赔，人民法院应予支持。如保险合同对此无约定或无明确约定，依据车损险赔付应遵循“实际损失填补”的原则，亦应以上述规则处理。</w:t>
      </w:r>
    </w:p>
    <w:p w14:paraId="5B04EB4A">
      <w:pPr>
        <w:spacing w:after="120" w:line="360" w:lineRule="auto"/>
        <w:ind w:firstLine="480"/>
        <w:rPr>
          <w:rFonts w:hint="default" w:ascii="微软雅黑" w:hAnsi="微软雅黑" w:eastAsia="微软雅黑" w:cs="微软雅黑"/>
          <w:b/>
          <w:bCs/>
          <w:color w:val="2C2C2C"/>
          <w:sz w:val="24"/>
          <w:szCs w:val="24"/>
          <w:lang w:val="en-US" w:eastAsia="zh-CN"/>
        </w:rPr>
      </w:pPr>
      <w:r>
        <w:rPr>
          <w:rFonts w:hint="default" w:ascii="微软雅黑" w:hAnsi="微软雅黑" w:eastAsia="微软雅黑" w:cs="微软雅黑"/>
          <w:b/>
          <w:bCs/>
          <w:color w:val="2C2C2C"/>
          <w:sz w:val="24"/>
          <w:szCs w:val="24"/>
        </w:rPr>
        <w:t>答疑</w:t>
      </w:r>
      <w:r>
        <w:rPr>
          <w:rFonts w:hint="eastAsia" w:cs="微软雅黑"/>
          <w:b/>
          <w:bCs/>
          <w:color w:val="2C2C2C"/>
          <w:sz w:val="24"/>
          <w:szCs w:val="24"/>
          <w:lang w:val="en-US" w:eastAsia="zh-CN"/>
        </w:rPr>
        <w:t>四</w:t>
      </w:r>
      <w:r>
        <w:rPr>
          <w:rFonts w:hint="default" w:ascii="微软雅黑" w:hAnsi="微软雅黑" w:eastAsia="微软雅黑" w:cs="微软雅黑"/>
          <w:b/>
          <w:bCs/>
          <w:color w:val="2C2C2C"/>
          <w:sz w:val="24"/>
          <w:szCs w:val="24"/>
        </w:rPr>
        <w:t>：</w:t>
      </w:r>
      <w:r>
        <w:rPr>
          <w:rFonts w:hint="default" w:ascii="微软雅黑" w:hAnsi="微软雅黑" w:eastAsia="微软雅黑" w:cs="微软雅黑"/>
          <w:b/>
          <w:bCs/>
          <w:color w:val="2C2C2C"/>
          <w:sz w:val="24"/>
          <w:szCs w:val="24"/>
          <w:lang w:val="en-US" w:eastAsia="zh-CN"/>
        </w:rPr>
        <w:t>雇主为员工购买的团体意外险的保险金，能否冲抵雇主赔偿责任？雇主承担赔偿责任后能否获得意外险保险金请求权？</w:t>
      </w:r>
    </w:p>
    <w:p w14:paraId="4568350B">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b/>
          <w:bCs/>
          <w:color w:val="2C2C2C"/>
          <w:sz w:val="24"/>
          <w:szCs w:val="24"/>
        </w:rPr>
        <w:t>答疑意见：</w:t>
      </w:r>
      <w:r>
        <w:rPr>
          <w:rFonts w:hint="default" w:ascii="微软雅黑" w:hAnsi="微软雅黑" w:eastAsia="微软雅黑" w:cs="微软雅黑"/>
          <w:color w:val="2C2C2C"/>
          <w:sz w:val="24"/>
          <w:szCs w:val="24"/>
          <w:lang w:val="en-US" w:eastAsia="zh-CN"/>
        </w:rPr>
        <w:t>首先，雇员所获团体意外险保险金不应冲抵雇主对雇员依法应当承担的赔偿责任。根据《中华人民共和国保险法》第三十九条第二款规定，投保人为与其有劳动关系的劳动者投保人身保险，不得指定被保险人及其近亲属以外的人为受益人。其立法本意在于，消除用人单位优势地位的影响，保障劳动者的权益。实践中，用人单位与劳动者在劳动关系中处于不平等地位，用人单位可能利用其所占据的优势地位使劳动者作出违背真实意思的表示，如果允许作为被保险人的劳动者指定用人单位为受益人，则会出现用人单位诱导或者强迫作为被保险人的劳动者指定其为受益人，以规避保险法的强制性规定。如允许雇主为员工投保意外险后可以直接在赔偿款中扣除该保险金，雇主即成为实质意义上的受益人，显然违背立法精神，也违背团体意外伤害保险的功能目的。</w:t>
      </w:r>
    </w:p>
    <w:p w14:paraId="5DB506BB">
      <w:pPr>
        <w:spacing w:after="120" w:line="360" w:lineRule="auto"/>
        <w:ind w:firstLine="480"/>
        <w:rPr>
          <w:rFonts w:hint="default" w:ascii="微软雅黑" w:hAnsi="微软雅黑" w:eastAsia="微软雅黑" w:cs="微软雅黑"/>
          <w:color w:val="2C2C2C"/>
          <w:sz w:val="24"/>
          <w:szCs w:val="24"/>
          <w:lang w:val="en-US" w:eastAsia="zh-CN"/>
        </w:rPr>
      </w:pPr>
      <w:r>
        <w:rPr>
          <w:rFonts w:hint="default" w:ascii="微软雅黑" w:hAnsi="微软雅黑" w:eastAsia="微软雅黑" w:cs="微软雅黑"/>
          <w:color w:val="2C2C2C"/>
          <w:sz w:val="24"/>
          <w:szCs w:val="24"/>
          <w:lang w:val="en-US" w:eastAsia="zh-CN"/>
        </w:rPr>
        <w:t>其次，雇主承担赔偿责任后不能获得雇员的意外险保险金请求权。根据保险法第三十九条第二款规定，团体意外险的受益人是被保险人及其近亲属。用人单位虽然支付了保险费，但不能成为团体意外险受益人，不享有保险金请求权。同时，保险法第四十六条规定：“被保险人因第三者的行为而发生死亡、伤残或者疾病等保险事故的，保险人向被保险人或者受益人给付保险金后，不享有向第三者追偿的权利，但被保险人或者受益人仍有权向第三者请求赔偿。”根据此条规定，被保险人或者受益人可以兼得保险金与第三人的赔偿。同理，雇主向雇员承担赔偿责任后，不应享有代位追偿权，不应自动获得雇员的意外险保险金请求权。</w:t>
      </w:r>
    </w:p>
    <w:p w14:paraId="36599BCA">
      <w:pPr>
        <w:spacing w:after="120" w:line="360" w:lineRule="auto"/>
        <w:ind w:firstLine="480"/>
        <w:rPr>
          <w:rFonts w:hint="default" w:ascii="微软雅黑" w:hAnsi="微软雅黑" w:eastAsia="微软雅黑" w:cs="微软雅黑"/>
          <w:b/>
          <w:bCs/>
          <w:color w:val="2C2C2C"/>
          <w:sz w:val="24"/>
          <w:szCs w:val="24"/>
          <w:lang w:val="en-US" w:eastAsia="zh-CN"/>
        </w:rPr>
      </w:pPr>
      <w:r>
        <w:rPr>
          <w:rFonts w:hint="default" w:ascii="微软雅黑" w:hAnsi="微软雅黑" w:eastAsia="微软雅黑" w:cs="微软雅黑"/>
          <w:b/>
          <w:bCs/>
          <w:color w:val="2C2C2C"/>
          <w:sz w:val="24"/>
          <w:szCs w:val="24"/>
        </w:rPr>
        <w:t>答疑</w:t>
      </w:r>
      <w:r>
        <w:rPr>
          <w:rFonts w:hint="eastAsia" w:cs="微软雅黑"/>
          <w:b/>
          <w:bCs/>
          <w:color w:val="2C2C2C"/>
          <w:sz w:val="24"/>
          <w:szCs w:val="24"/>
          <w:lang w:val="en-US" w:eastAsia="zh-CN"/>
        </w:rPr>
        <w:t>五</w:t>
      </w:r>
      <w:r>
        <w:rPr>
          <w:rFonts w:hint="default" w:ascii="微软雅黑" w:hAnsi="微软雅黑" w:eastAsia="微软雅黑" w:cs="微软雅黑"/>
          <w:b/>
          <w:bCs/>
          <w:color w:val="2C2C2C"/>
          <w:sz w:val="24"/>
          <w:szCs w:val="24"/>
        </w:rPr>
        <w:t>：</w:t>
      </w:r>
      <w:r>
        <w:rPr>
          <w:rFonts w:hint="default" w:ascii="微软雅黑" w:hAnsi="微软雅黑" w:eastAsia="微软雅黑" w:cs="微软雅黑"/>
          <w:b/>
          <w:bCs/>
          <w:color w:val="2C2C2C"/>
          <w:sz w:val="24"/>
          <w:szCs w:val="24"/>
          <w:lang w:val="en-US" w:eastAsia="zh-CN"/>
        </w:rPr>
        <w:t>人身保险合同团体险中，签订合同的双方（用人单位与保险公司）约定管辖能否约束被保险人（员工）？</w:t>
      </w:r>
    </w:p>
    <w:p w14:paraId="365FF4D5">
      <w:pPr>
        <w:spacing w:after="120" w:line="360" w:lineRule="auto"/>
        <w:ind w:firstLine="480"/>
        <w:rPr>
          <w:sz w:val="24"/>
          <w:szCs w:val="24"/>
        </w:rPr>
      </w:pPr>
      <w:r>
        <w:rPr>
          <w:rFonts w:hint="default" w:ascii="微软雅黑" w:hAnsi="微软雅黑" w:eastAsia="微软雅黑" w:cs="微软雅黑"/>
          <w:b/>
          <w:bCs/>
          <w:color w:val="2C2C2C"/>
          <w:sz w:val="24"/>
          <w:szCs w:val="24"/>
        </w:rPr>
        <w:t>答疑意见：</w:t>
      </w:r>
      <w:r>
        <w:rPr>
          <w:rFonts w:hint="default" w:ascii="微软雅黑" w:hAnsi="微软雅黑" w:eastAsia="微软雅黑" w:cs="微软雅黑"/>
          <w:color w:val="2C2C2C"/>
          <w:sz w:val="24"/>
          <w:szCs w:val="24"/>
          <w:lang w:val="en-US" w:eastAsia="zh-CN"/>
        </w:rPr>
        <w:t>依据《中国保监会关于促进团体保险健康发展有关问题的通知》（保监发〔2015〕14号）第一条的规定，团体保险是指投保人为特定团体成员投保，由保险公司以一份保险合同提供保险保障的人身保险。团体险的保险合同，属于利他合同，职工为被保险人，受益人一般为职工本人或其近亲属。职工作为被保险人虽然没有参与订立保险合同，但是其财产或人身受保险合同保障。既然被保险人依据合同约定享有相关权利，亦应依据合同约定承担相应义务，这种义务既有保险法规定的实体法上的义务，也包括程序法上的义务。所以，团体保险合同中的协议管辖条款，对被保险人亦具有约束力。</w:t>
      </w:r>
    </w:p>
    <w:p w14:paraId="7476C89E">
      <w:pPr>
        <w:spacing w:before="0" w:after="0"/>
        <w:jc w:val="both"/>
      </w:pPr>
    </w:p>
    <w:p w14:paraId="77E30FEC">
      <w:pPr>
        <w:spacing w:before="0" w:after="0"/>
        <w:jc w:val="both"/>
      </w:pPr>
    </w:p>
    <w:p w14:paraId="661C6AF9">
      <w:pPr>
        <w:spacing w:before="0" w:after="0"/>
        <w:jc w:val="both"/>
      </w:pPr>
    </w:p>
    <w:p w14:paraId="5EDC53EC">
      <w:pPr>
        <w:spacing w:before="0" w:after="0"/>
        <w:jc w:val="both"/>
      </w:pPr>
    </w:p>
    <w:p w14:paraId="148A493C">
      <w:pPr>
        <w:spacing w:before="0" w:after="0"/>
        <w:jc w:val="both"/>
      </w:pPr>
    </w:p>
    <w:p w14:paraId="16CCD313">
      <w:pPr>
        <w:spacing w:before="0" w:after="0"/>
        <w:jc w:val="both"/>
      </w:pPr>
    </w:p>
    <w:p w14:paraId="7BC8E244">
      <w:pPr>
        <w:spacing w:before="0" w:after="0"/>
        <w:jc w:val="both"/>
      </w:pPr>
    </w:p>
    <w:p w14:paraId="341B5C2B">
      <w:pPr>
        <w:spacing w:before="0" w:after="0"/>
        <w:jc w:val="both"/>
      </w:pPr>
    </w:p>
    <w:p w14:paraId="413AD09C">
      <w:pPr>
        <w:spacing w:before="0" w:after="0"/>
        <w:jc w:val="both"/>
      </w:pPr>
    </w:p>
    <w:p w14:paraId="7CA1F536">
      <w:pPr>
        <w:spacing w:before="0" w:after="0"/>
        <w:jc w:val="both"/>
      </w:pPr>
    </w:p>
    <w:p w14:paraId="4002B925">
      <w:pPr>
        <w:spacing w:before="0" w:after="0"/>
        <w:jc w:val="both"/>
      </w:pPr>
    </w:p>
    <w:p w14:paraId="1109EC04">
      <w:pPr>
        <w:spacing w:before="0" w:after="0"/>
        <w:jc w:val="both"/>
      </w:pPr>
    </w:p>
    <w:p w14:paraId="27A1B203">
      <w:pPr>
        <w:spacing w:before="0" w:after="0"/>
        <w:jc w:val="both"/>
        <w:sectPr>
          <w:footerReference r:id="rId6" w:type="first"/>
          <w:footerReference r:id="rId5" w:type="default"/>
          <w:pgSz w:w="11906" w:h="16838"/>
          <w:pgMar w:top="1440" w:right="1440" w:bottom="1440" w:left="1440" w:header="708" w:footer="708" w:gutter="0"/>
          <w:pgNumType w:fmt="numberInDash" w:start="1"/>
          <w:cols w:space="720" w:num="1"/>
          <w:titlePg/>
          <w:docGrid w:linePitch="360" w:charSpace="0"/>
        </w:sectPr>
      </w:pPr>
    </w:p>
    <w:p w14:paraId="53DB8508">
      <w:pPr>
        <w:spacing w:before="0" w:after="0"/>
        <w:jc w:val="both"/>
      </w:pPr>
    </w:p>
    <w:p w14:paraId="0B07C6A4">
      <w:pPr>
        <w:spacing w:before="0" w:after="0"/>
        <w:jc w:val="both"/>
      </w:pPr>
    </w:p>
    <w:p w14:paraId="545B2356">
      <w:pPr>
        <w:spacing w:before="0" w:after="0"/>
        <w:jc w:val="both"/>
      </w:pPr>
    </w:p>
    <w:p w14:paraId="287CBE49">
      <w:pPr>
        <w:spacing w:before="0" w:after="0"/>
        <w:jc w:val="both"/>
      </w:pPr>
    </w:p>
    <w:p w14:paraId="6CA8CF1C">
      <w:pPr>
        <w:spacing w:before="0" w:after="0"/>
        <w:jc w:val="both"/>
      </w:pPr>
    </w:p>
    <w:p w14:paraId="04542BED">
      <w:pPr>
        <w:spacing w:before="0" w:after="0"/>
        <w:jc w:val="both"/>
      </w:pPr>
    </w:p>
    <w:p w14:paraId="1047852A">
      <w:pPr>
        <w:spacing w:before="0" w:after="0"/>
        <w:jc w:val="both"/>
      </w:pPr>
    </w:p>
    <w:p w14:paraId="49B1CCDC">
      <w:pPr>
        <w:spacing w:before="0" w:after="0"/>
        <w:jc w:val="both"/>
      </w:pPr>
    </w:p>
    <w:p w14:paraId="394AE69C">
      <w:pPr>
        <w:spacing w:before="0" w:after="0"/>
        <w:jc w:val="both"/>
      </w:pPr>
    </w:p>
    <w:p w14:paraId="30336B70">
      <w:pPr>
        <w:spacing w:before="0" w:after="0"/>
        <w:jc w:val="both"/>
      </w:pPr>
    </w:p>
    <w:p w14:paraId="78FED144">
      <w:pPr>
        <w:spacing w:before="0" w:after="0"/>
        <w:jc w:val="both"/>
      </w:pPr>
    </w:p>
    <w:p w14:paraId="5EFA7922">
      <w:pPr>
        <w:pBdr>
          <w:bottom w:val="single" w:color="C4A35A" w:sz="6" w:space="1"/>
        </w:pBdr>
        <w:spacing w:after="480"/>
        <w:jc w:val="center"/>
      </w:pPr>
    </w:p>
    <w:p w14:paraId="1D08718E">
      <w:pPr>
        <w:spacing w:before="400" w:after="240"/>
        <w:jc w:val="center"/>
      </w:pPr>
      <w:r>
        <w:drawing>
          <wp:inline distT="0" distB="0" distL="114300" distR="114300">
            <wp:extent cx="1828800" cy="1828800"/>
            <wp:effectExtent l="0" t="0" r="0" b="0"/>
            <wp:docPr id="1000" name="Picture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Picture 1000"/>
                    <pic:cNvPicPr>
                      <a:picLocks noChangeAspect="1"/>
                    </pic:cNvPicPr>
                  </pic:nvPicPr>
                  <pic:blipFill>
                    <a:blip r:embed="rId10"/>
                    <a:stretch>
                      <a:fillRect/>
                    </a:stretch>
                  </pic:blipFill>
                  <pic:spPr>
                    <a:xfrm>
                      <a:off x="0" y="0"/>
                      <a:ext cx="1828800" cy="1828800"/>
                    </a:xfrm>
                    <a:prstGeom prst="rect">
                      <a:avLst/>
                    </a:prstGeom>
                  </pic:spPr>
                </pic:pic>
              </a:graphicData>
            </a:graphic>
          </wp:inline>
        </w:drawing>
      </w:r>
    </w:p>
    <w:p w14:paraId="640588D2">
      <w:pPr>
        <w:pBdr>
          <w:bottom w:val="single" w:color="C4A35A" w:sz="6" w:space="1"/>
        </w:pBdr>
        <w:spacing w:before="240"/>
        <w:jc w:val="center"/>
      </w:pPr>
    </w:p>
    <w:p w14:paraId="233BF539">
      <w:pPr>
        <w:spacing w:before="0" w:after="0"/>
        <w:jc w:val="center"/>
      </w:pPr>
    </w:p>
    <w:p w14:paraId="66330528">
      <w:pPr>
        <w:spacing w:before="0" w:after="0"/>
        <w:jc w:val="center"/>
      </w:pPr>
    </w:p>
    <w:p w14:paraId="46658718">
      <w:pPr>
        <w:spacing w:before="0" w:after="0"/>
        <w:jc w:val="center"/>
      </w:pPr>
    </w:p>
    <w:p w14:paraId="55022B6A">
      <w:pPr>
        <w:spacing w:before="0" w:after="0"/>
        <w:jc w:val="center"/>
      </w:pPr>
    </w:p>
    <w:p w14:paraId="1B05A6D0">
      <w:pPr>
        <w:jc w:val="center"/>
      </w:pPr>
      <w:r>
        <w:rPr>
          <w:rFonts w:ascii="微软雅黑" w:hAnsi="微软雅黑"/>
          <w:color w:val="999999"/>
          <w:sz w:val="20"/>
        </w:rPr>
        <w:t>内部资料 仅供参考</w:t>
      </w:r>
    </w:p>
    <w:p w14:paraId="4DA21EC0">
      <w:pPr>
        <w:jc w:val="center"/>
        <w:rPr>
          <w:rFonts w:ascii="微软雅黑" w:hAnsi="微软雅黑"/>
          <w:color w:val="999999"/>
          <w:sz w:val="20"/>
        </w:rPr>
      </w:pPr>
      <w:r>
        <w:rPr>
          <w:rFonts w:ascii="微软雅黑" w:hAnsi="微软雅黑"/>
          <w:color w:val="999999"/>
          <w:sz w:val="20"/>
        </w:rPr>
        <w:t>© 2026 河南省律师协会金融保险专业委员会</w:t>
      </w:r>
    </w:p>
    <w:p w14:paraId="1DEFAB14">
      <w:pPr>
        <w:jc w:val="center"/>
        <w:rPr>
          <w:rFonts w:ascii="微软雅黑" w:hAnsi="微软雅黑"/>
          <w:color w:val="999999"/>
          <w:sz w:val="20"/>
        </w:rPr>
      </w:pPr>
    </w:p>
    <w:p w14:paraId="680A24DB">
      <w:pPr>
        <w:jc w:val="center"/>
        <w:rPr>
          <w:rFonts w:ascii="微软雅黑" w:hAnsi="微软雅黑"/>
          <w:color w:val="999999"/>
          <w:sz w:val="20"/>
        </w:rPr>
      </w:pPr>
    </w:p>
    <w:p w14:paraId="47B06ECA">
      <w:pPr>
        <w:jc w:val="center"/>
        <w:rPr>
          <w:rFonts w:ascii="微软雅黑" w:hAnsi="微软雅黑"/>
          <w:color w:val="999999"/>
          <w:sz w:val="20"/>
        </w:rPr>
      </w:pPr>
    </w:p>
    <w:p w14:paraId="647B67C9">
      <w:pPr>
        <w:jc w:val="center"/>
        <w:rPr>
          <w:rFonts w:ascii="微软雅黑" w:hAnsi="微软雅黑"/>
          <w:color w:val="999999"/>
          <w:sz w:val="20"/>
        </w:rPr>
      </w:pPr>
    </w:p>
    <w:p w14:paraId="56E0BD9B">
      <w:pPr>
        <w:jc w:val="center"/>
        <w:rPr>
          <w:rFonts w:ascii="微软雅黑" w:hAnsi="微软雅黑"/>
          <w:color w:val="999999"/>
          <w:sz w:val="20"/>
        </w:rPr>
      </w:pPr>
    </w:p>
    <w:p w14:paraId="55808F4D">
      <w:pPr>
        <w:jc w:val="center"/>
        <w:rPr>
          <w:rFonts w:ascii="微软雅黑" w:hAnsi="微软雅黑"/>
          <w:color w:val="999999"/>
          <w:sz w:val="20"/>
        </w:rPr>
      </w:pPr>
    </w:p>
    <w:p w14:paraId="7D54B07C">
      <w:pPr>
        <w:jc w:val="center"/>
        <w:rPr>
          <w:rFonts w:ascii="微软雅黑" w:hAnsi="微软雅黑"/>
          <w:color w:val="999999"/>
          <w:sz w:val="20"/>
        </w:rPr>
      </w:pPr>
    </w:p>
    <w:p w14:paraId="1B08AEA3">
      <w:pPr>
        <w:jc w:val="center"/>
        <w:rPr>
          <w:rFonts w:ascii="微软雅黑" w:hAnsi="微软雅黑"/>
          <w:color w:val="999999"/>
          <w:sz w:val="20"/>
        </w:rPr>
      </w:pPr>
    </w:p>
    <w:p w14:paraId="4E768A49">
      <w:pPr>
        <w:jc w:val="both"/>
        <w:rPr>
          <w:rFonts w:ascii="微软雅黑" w:hAnsi="微软雅黑"/>
          <w:color w:val="999999"/>
          <w:sz w:val="20"/>
        </w:rPr>
      </w:pPr>
    </w:p>
    <w:sectPr>
      <w:footerReference r:id="rId8" w:type="first"/>
      <w:footerReference r:id="rId7" w:type="default"/>
      <w:pgSz w:w="11906" w:h="16838"/>
      <w:pgMar w:top="1440" w:right="1440" w:bottom="1440" w:left="1440" w:header="708" w:footer="708" w:gutter="0"/>
      <w:pgNumType w:fmt="numberInDash" w:start="1"/>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A94CC">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AB4465">
                          <w:pPr>
                            <w:pStyle w:val="10"/>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9AB4465">
                    <w:pPr>
                      <w:pStyle w:val="10"/>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7A17C">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BEAE1F">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BBEAE1F">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E26D0">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FCD33">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D1C1F">
    <w:pPr>
      <w:spacing w:after="120" w:line="360" w:lineRule="auto"/>
      <w:jc w:val="center"/>
      <w:rPr>
        <w:rFonts w:hint="default" w:eastAsia="微软雅黑"/>
        <w:lang w:val="en-US" w:eastAsia="zh-CN"/>
      </w:rPr>
    </w:pPr>
    <w:r>
      <w:rPr>
        <w:rFonts w:ascii="微软雅黑" w:hAnsi="微软雅黑" w:eastAsia="微软雅黑" w:cs="微软雅黑"/>
        <w:color w:val="999999"/>
        <w:sz w:val="18"/>
        <w:szCs w:val="18"/>
      </w:rPr>
      <w:t>金融保险行业快讯 | 2026年</w:t>
    </w:r>
    <w:r>
      <w:rPr>
        <w:rFonts w:hint="eastAsia" w:cs="微软雅黑"/>
        <w:color w:val="999999"/>
        <w:sz w:val="18"/>
        <w:szCs w:val="18"/>
        <w:lang w:val="en-US" w:eastAsia="zh-CN"/>
      </w:rPr>
      <w:t>7月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9C936">
    <w:pPr>
      <w:spacing w:after="120" w:line="360" w:lineRule="auto"/>
      <w:jc w:val="center"/>
      <w:rPr>
        <w:rFonts w:hint="eastAsia" w:eastAsia="微软雅黑"/>
        <w:lang w:eastAsia="zh-CN"/>
      </w:rPr>
    </w:pPr>
    <w:r>
      <w:rPr>
        <w:rFonts w:ascii="微软雅黑" w:hAnsi="微软雅黑" w:eastAsia="微软雅黑" w:cs="微软雅黑"/>
        <w:color w:val="999999"/>
        <w:sz w:val="18"/>
        <w:szCs w:val="18"/>
      </w:rPr>
      <w:t>金融保险行业快讯 | 2026年</w:t>
    </w:r>
    <w:r>
      <w:rPr>
        <w:rFonts w:hint="eastAsia" w:cs="微软雅黑"/>
        <w:color w:val="999999"/>
        <w:sz w:val="18"/>
        <w:szCs w:val="18"/>
        <w:lang w:val="en-US" w:eastAsia="zh-CN"/>
      </w:rPr>
      <w:t>7月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rsids>
    <w:rsidRoot w:val="00000000"/>
    <w:rsid w:val="00704336"/>
    <w:rsid w:val="00E434F6"/>
    <w:rsid w:val="023A4BFB"/>
    <w:rsid w:val="0D2D23C3"/>
    <w:rsid w:val="0F357EF5"/>
    <w:rsid w:val="15995C85"/>
    <w:rsid w:val="181635BD"/>
    <w:rsid w:val="190F724D"/>
    <w:rsid w:val="1C4A7CD9"/>
    <w:rsid w:val="1FD65050"/>
    <w:rsid w:val="20DD111C"/>
    <w:rsid w:val="22DB78DD"/>
    <w:rsid w:val="23D83E1C"/>
    <w:rsid w:val="2532706E"/>
    <w:rsid w:val="2AE15CAC"/>
    <w:rsid w:val="2B0013F2"/>
    <w:rsid w:val="40A86BF9"/>
    <w:rsid w:val="44006187"/>
    <w:rsid w:val="46EE1C26"/>
    <w:rsid w:val="5AB0697E"/>
    <w:rsid w:val="5E1A35E9"/>
    <w:rsid w:val="656071F2"/>
    <w:rsid w:val="68071BA7"/>
    <w:rsid w:val="729836BF"/>
    <w:rsid w:val="76EA50A6"/>
    <w:rsid w:val="76EC6B38"/>
    <w:rsid w:val="77CB38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微软雅黑" w:hAnsi="微软雅黑" w:eastAsia="微软雅黑" w:cs="微软雅黑"/>
      <w:color w:val="2C2C2C"/>
      <w:sz w:val="21"/>
      <w:szCs w:val="21"/>
    </w:rPr>
  </w:style>
  <w:style w:type="paragraph" w:styleId="2">
    <w:name w:val="heading 1"/>
    <w:next w:val="1"/>
    <w:qFormat/>
    <w:uiPriority w:val="0"/>
    <w:pPr>
      <w:keepNext/>
      <w:keepLines/>
      <w:widowControl/>
      <w:spacing w:before="400" w:after="200"/>
      <w:outlineLvl w:val="0"/>
    </w:pPr>
    <w:rPr>
      <w:rFonts w:ascii="黑体" w:hAnsi="黑体" w:eastAsia="黑体" w:cs="黑体"/>
      <w:b/>
      <w:bCs/>
      <w:color w:val="1B3A5C"/>
      <w:sz w:val="40"/>
      <w:szCs w:val="40"/>
    </w:rPr>
  </w:style>
  <w:style w:type="paragraph" w:styleId="3">
    <w:name w:val="heading 2"/>
    <w:next w:val="1"/>
    <w:qFormat/>
    <w:uiPriority w:val="0"/>
    <w:pPr>
      <w:keepNext/>
      <w:keepLines/>
      <w:widowControl/>
      <w:spacing w:before="400" w:after="200"/>
      <w:outlineLvl w:val="1"/>
    </w:pPr>
    <w:rPr>
      <w:rFonts w:ascii="黑体" w:hAnsi="黑体" w:eastAsia="黑体" w:cs="黑体"/>
      <w:b/>
      <w:bCs/>
      <w:color w:val="1B3A5C"/>
      <w:sz w:val="32"/>
      <w:szCs w:val="32"/>
    </w:rPr>
  </w:style>
  <w:style w:type="paragraph" w:styleId="4">
    <w:name w:val="heading 3"/>
    <w:next w:val="1"/>
    <w:qFormat/>
    <w:uiPriority w:val="0"/>
    <w:pPr>
      <w:keepNext/>
      <w:keepLines/>
      <w:widowControl/>
      <w:spacing w:before="400" w:after="200"/>
      <w:outlineLvl w:val="2"/>
    </w:pPr>
    <w:rPr>
      <w:rFonts w:ascii="黑体" w:hAnsi="黑体" w:eastAsia="黑体" w:cs="黑体"/>
      <w:b/>
      <w:bCs/>
      <w:color w:val="1B3A5C"/>
      <w:sz w:val="26"/>
      <w:szCs w:val="26"/>
    </w:rPr>
  </w:style>
  <w:style w:type="paragraph" w:styleId="5">
    <w:name w:val="heading 4"/>
    <w:next w:val="1"/>
    <w:qFormat/>
    <w:uiPriority w:val="0"/>
    <w:pPr>
      <w:widowControl/>
      <w:outlineLvl w:val="3"/>
    </w:pPr>
    <w:rPr>
      <w:rFonts w:ascii="微软雅黑" w:hAnsi="微软雅黑" w:eastAsia="微软雅黑" w:cs="微软雅黑"/>
      <w:i/>
      <w:iCs/>
      <w:color w:val="2E74B5"/>
      <w:sz w:val="21"/>
      <w:szCs w:val="21"/>
    </w:rPr>
  </w:style>
  <w:style w:type="paragraph" w:styleId="6">
    <w:name w:val="heading 5"/>
    <w:next w:val="1"/>
    <w:qFormat/>
    <w:uiPriority w:val="0"/>
    <w:pPr>
      <w:widowControl/>
      <w:outlineLvl w:val="4"/>
    </w:pPr>
    <w:rPr>
      <w:rFonts w:ascii="微软雅黑" w:hAnsi="微软雅黑" w:eastAsia="微软雅黑" w:cs="微软雅黑"/>
      <w:color w:val="2E74B5"/>
      <w:sz w:val="21"/>
      <w:szCs w:val="21"/>
    </w:rPr>
  </w:style>
  <w:style w:type="paragraph" w:styleId="7">
    <w:name w:val="heading 6"/>
    <w:next w:val="1"/>
    <w:qFormat/>
    <w:uiPriority w:val="0"/>
    <w:pPr>
      <w:widowControl/>
      <w:outlineLvl w:val="5"/>
    </w:pPr>
    <w:rPr>
      <w:rFonts w:ascii="微软雅黑" w:hAnsi="微软雅黑" w:eastAsia="微软雅黑" w:cs="微软雅黑"/>
      <w:color w:val="1F4D78"/>
      <w:sz w:val="21"/>
      <w:szCs w:val="21"/>
    </w:rPr>
  </w:style>
  <w:style w:type="character" w:default="1" w:styleId="19">
    <w:name w:val="Default Paragraph Font"/>
    <w:semiHidden/>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8">
    <w:name w:val="toc 3"/>
    <w:qFormat/>
    <w:uiPriority w:val="39"/>
    <w:pPr>
      <w:widowControl/>
      <w:spacing w:before="0" w:after="0" w:line="360" w:lineRule="auto"/>
      <w:ind w:left="840"/>
    </w:pPr>
    <w:rPr>
      <w:rFonts w:ascii="微软雅黑" w:hAnsi="微软雅黑" w:eastAsia="微软雅黑" w:cs="微软雅黑"/>
      <w:color w:val="2C2C2C"/>
      <w:sz w:val="21"/>
      <w:szCs w:val="21"/>
    </w:rPr>
  </w:style>
  <w:style w:type="paragraph" w:styleId="9">
    <w:name w:val="endnote text"/>
    <w:link w:val="25"/>
    <w:semiHidden/>
    <w:unhideWhenUsed/>
    <w:qFormat/>
    <w:uiPriority w:val="99"/>
    <w:pPr>
      <w:widowControl/>
      <w:spacing w:after="0" w:line="240" w:lineRule="auto"/>
    </w:pPr>
    <w:rPr>
      <w:rFonts w:ascii="微软雅黑" w:hAnsi="微软雅黑" w:eastAsia="微软雅黑" w:cs="微软雅黑"/>
      <w:color w:val="2C2C2C"/>
      <w:sz w:val="20"/>
      <w:szCs w:val="20"/>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qFormat/>
    <w:uiPriority w:val="39"/>
    <w:pPr>
      <w:widowControl/>
      <w:spacing w:before="120" w:after="0" w:line="360" w:lineRule="auto"/>
    </w:pPr>
    <w:rPr>
      <w:rFonts w:ascii="微软雅黑" w:hAnsi="微软雅黑" w:eastAsia="微软雅黑" w:cs="微软雅黑"/>
      <w:b/>
      <w:color w:val="2C2C2C"/>
      <w:sz w:val="22"/>
      <w:szCs w:val="22"/>
    </w:rPr>
  </w:style>
  <w:style w:type="paragraph" w:styleId="13">
    <w:name w:val="footnote text"/>
    <w:link w:val="24"/>
    <w:semiHidden/>
    <w:unhideWhenUsed/>
    <w:qFormat/>
    <w:uiPriority w:val="99"/>
    <w:pPr>
      <w:widowControl/>
      <w:spacing w:after="0" w:line="240" w:lineRule="auto"/>
    </w:pPr>
    <w:rPr>
      <w:rFonts w:ascii="微软雅黑" w:hAnsi="微软雅黑" w:eastAsia="微软雅黑" w:cs="微软雅黑"/>
      <w:color w:val="2C2C2C"/>
      <w:sz w:val="20"/>
      <w:szCs w:val="20"/>
    </w:rPr>
  </w:style>
  <w:style w:type="paragraph" w:styleId="14">
    <w:name w:val="toc 2"/>
    <w:qFormat/>
    <w:uiPriority w:val="39"/>
    <w:pPr>
      <w:widowControl/>
      <w:spacing w:before="0" w:after="0" w:line="360" w:lineRule="auto"/>
      <w:ind w:left="420"/>
    </w:pPr>
    <w:rPr>
      <w:rFonts w:ascii="微软雅黑" w:hAnsi="微软雅黑" w:eastAsia="微软雅黑" w:cs="微软雅黑"/>
      <w:color w:val="2C2C2C"/>
      <w:sz w:val="21"/>
      <w:szCs w:val="21"/>
    </w:rPr>
  </w:style>
  <w:style w:type="paragraph" w:styleId="15">
    <w:name w:val="Normal (Web)"/>
    <w:basedOn w:val="1"/>
    <w:qFormat/>
    <w:uiPriority w:val="0"/>
    <w:rPr>
      <w:sz w:val="24"/>
    </w:rPr>
  </w:style>
  <w:style w:type="paragraph" w:styleId="16">
    <w:name w:val="Title"/>
    <w:qFormat/>
    <w:uiPriority w:val="0"/>
    <w:pPr>
      <w:widowControl/>
    </w:pPr>
    <w:rPr>
      <w:rFonts w:ascii="微软雅黑" w:hAnsi="微软雅黑" w:eastAsia="微软雅黑" w:cs="微软雅黑"/>
      <w:color w:val="2C2C2C"/>
      <w:sz w:val="56"/>
      <w:szCs w:val="56"/>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endnote reference"/>
    <w:semiHidden/>
    <w:unhideWhenUsed/>
    <w:qFormat/>
    <w:uiPriority w:val="99"/>
    <w:rPr>
      <w:vertAlign w:val="superscript"/>
    </w:rPr>
  </w:style>
  <w:style w:type="character" w:styleId="21">
    <w:name w:val="Hyperlink"/>
    <w:unhideWhenUsed/>
    <w:qFormat/>
    <w:uiPriority w:val="99"/>
    <w:rPr>
      <w:color w:val="0563C1"/>
      <w:u w:val="single"/>
    </w:rPr>
  </w:style>
  <w:style w:type="character" w:styleId="22">
    <w:name w:val="footnote reference"/>
    <w:semiHidden/>
    <w:unhideWhenUsed/>
    <w:qFormat/>
    <w:uiPriority w:val="99"/>
    <w:rPr>
      <w:vertAlign w:val="superscript"/>
    </w:rPr>
  </w:style>
  <w:style w:type="paragraph" w:styleId="23">
    <w:name w:val="List Paragraph"/>
    <w:qFormat/>
    <w:uiPriority w:val="0"/>
    <w:pPr>
      <w:widowControl/>
    </w:pPr>
    <w:rPr>
      <w:rFonts w:ascii="微软雅黑" w:hAnsi="微软雅黑" w:eastAsia="微软雅黑" w:cs="微软雅黑"/>
      <w:color w:val="2C2C2C"/>
      <w:sz w:val="21"/>
      <w:szCs w:val="21"/>
    </w:rPr>
  </w:style>
  <w:style w:type="character" w:customStyle="1" w:styleId="24">
    <w:name w:val="Footnote Text Char"/>
    <w:link w:val="13"/>
    <w:semiHidden/>
    <w:unhideWhenUsed/>
    <w:qFormat/>
    <w:uiPriority w:val="99"/>
    <w:rPr>
      <w:sz w:val="20"/>
      <w:szCs w:val="20"/>
    </w:rPr>
  </w:style>
  <w:style w:type="character" w:customStyle="1" w:styleId="25">
    <w:name w:val="Endnote Text Char"/>
    <w:link w:val="9"/>
    <w:semiHidden/>
    <w:unhideWhenUsed/>
    <w:qFormat/>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141</Pages>
  <Words>81237</Words>
  <Characters>86574</Characters>
  <TotalTime>6</TotalTime>
  <ScaleCrop>false</ScaleCrop>
  <LinksUpToDate>false</LinksUpToDate>
  <CharactersWithSpaces>87506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2026-07-29T09:21:00Z</dcterms:created>
  <dc:creator>Un-named</dc:creator>
  <cp:lastModifiedBy>王娇</cp:lastModifiedBy>
  <dcterms:modified xsi:type="dcterms:W3CDTF">2026-07-31T03:12:55Z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eyJoZGlkIjoiZTcxZjM1OTE0MGEzZDQ0ZWUwNmY5MWQ5NWZjMmI0MGQiLCJ1c2VySWQiOiI1MDI2ODgxMDYifQ==</vt:lpwstr>
  </property>
  <property fmtid="{D5CDD505-2E9C-101B-9397-08002B2CF9AE}" pid="3" name="KSOProductBuildVer">
    <vt:lpwstr>2052-12.1.0.26895</vt:lpwstr>
  </property>
  <property fmtid="{D5CDD505-2E9C-101B-9397-08002B2CF9AE}" pid="4" name="ICV">
    <vt:lpwstr>23A7B65804DE4E84AFD7F4449956787C_12</vt:lpwstr>
  </property>
</Properties>
</file>