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left"/>
        <w:rPr>
          <w:rFonts w:hint="default" w:ascii="Times New Roman" w:hAnsi="Times New Roman" w:eastAsia="仿宋" w:cs="Times New Roman"/>
          <w:color w:val="auto"/>
          <w:sz w:val="24"/>
          <w:szCs w:val="24"/>
        </w:rPr>
      </w:pPr>
      <w:r>
        <w:rPr>
          <w:rFonts w:hint="default" w:ascii="Times New Roman" w:hAnsi="Times New Roman" w:eastAsia="黑体" w:cs="Times New Roman"/>
          <w:color w:val="auto"/>
          <w:kern w:val="0"/>
          <w:sz w:val="32"/>
          <w:szCs w:val="32"/>
          <w:lang w:bidi="ar"/>
        </w:rPr>
        <w:t>附件</w:t>
      </w:r>
      <w:r>
        <w:rPr>
          <w:rFonts w:hint="default" w:ascii="Times New Roman" w:hAnsi="Times New Roman" w:eastAsia="黑体" w:cs="Times New Roman"/>
          <w:color w:val="auto"/>
          <w:kern w:val="0"/>
          <w:sz w:val="32"/>
          <w:szCs w:val="32"/>
          <w:lang w:val="en-US" w:eastAsia="zh-CN" w:bidi="ar"/>
        </w:rPr>
        <w:t>5</w:t>
      </w:r>
    </w:p>
    <w:p>
      <w:pPr>
        <w:spacing w:line="0" w:lineRule="atLeast"/>
        <w:jc w:val="center"/>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lang w:val="en-US" w:eastAsia="zh-CN"/>
        </w:rPr>
        <w:t>2021年度河南省律师行业优秀工作成果</w:t>
      </w:r>
    </w:p>
    <w:p>
      <w:pPr>
        <w:topLinePunct/>
        <w:spacing w:line="0" w:lineRule="atLeast"/>
        <w:jc w:val="center"/>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33个</w:t>
      </w:r>
      <w:r>
        <w:rPr>
          <w:rFonts w:hint="default" w:ascii="Times New Roman" w:hAnsi="Times New Roman" w:eastAsia="楷体_GB2312" w:cs="Times New Roman"/>
          <w:color w:val="auto"/>
          <w:sz w:val="32"/>
          <w:szCs w:val="32"/>
          <w:lang w:eastAsia="zh-CN"/>
        </w:rPr>
        <w:t>）</w:t>
      </w:r>
    </w:p>
    <w:p>
      <w:pPr>
        <w:topLinePunct/>
        <w:spacing w:line="0" w:lineRule="atLeast"/>
        <w:jc w:val="center"/>
        <w:rPr>
          <w:rFonts w:hint="default" w:ascii="Times New Roman" w:hAnsi="Times New Roman" w:eastAsia="楷体_GB2312" w:cs="Times New Roman"/>
          <w:color w:val="auto"/>
          <w:sz w:val="32"/>
          <w:szCs w:val="32"/>
          <w:lang w:eastAsia="zh-CN"/>
        </w:rPr>
      </w:pP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《黄河流域生态保护和高质量发展案例汇编》</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黄河流域生态保护和高质量发展法律研究中心</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《浅谈慈善信托的税制构建》</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马</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亮</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《人身保险合同领域热点难点问题探讨》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闫</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准</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社会保障行业</w:t>
      </w:r>
      <w:r>
        <w:rPr>
          <w:rFonts w:hint="default" w:ascii="Times New Roman" w:hAnsi="Times New Roman" w:eastAsia="仿宋_GB2312" w:cs="Times New Roman"/>
          <w:color w:val="auto"/>
          <w:sz w:val="32"/>
          <w:szCs w:val="32"/>
          <w:lang w:val="en-US" w:eastAsia="zh-CN"/>
        </w:rPr>
        <w:t>PPP应用</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李贵修</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《浅谈企业明股实债融资交易机制与完善建议》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鲁</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鹏王鑫悦</w:t>
      </w:r>
      <w:r>
        <w:rPr>
          <w:rFonts w:hint="default" w:ascii="Times New Roman" w:hAnsi="Times New Roman" w:eastAsia="仿宋_GB2312" w:cs="Times New Roman"/>
          <w:color w:val="auto"/>
          <w:sz w:val="32"/>
          <w:szCs w:val="32"/>
        </w:rPr>
        <w:tab/>
      </w:r>
    </w:p>
    <w:p>
      <w:pPr>
        <w:topLinePunct/>
        <w:spacing w:line="540" w:lineRule="exact"/>
        <w:ind w:left="319" w:leftChars="152" w:firstLine="320" w:firstLineChars="1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《黄河流域生态保护和高质量发展投融资渠道探析》</w:t>
      </w:r>
      <w:r>
        <w:rPr>
          <w:rFonts w:hint="default" w:ascii="Times New Roman" w:hAnsi="Times New Roman" w:eastAsia="仿宋_GB2312" w:cs="Times New Roman"/>
          <w:color w:val="auto"/>
          <w:sz w:val="32"/>
          <w:szCs w:val="32"/>
          <w:lang w:val="en-US" w:eastAsia="zh-CN"/>
        </w:rPr>
        <w:t xml:space="preserve">   </w:t>
      </w:r>
    </w:p>
    <w:p>
      <w:pPr>
        <w:topLinePunct/>
        <w:spacing w:line="54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千智永</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凯</w:t>
      </w:r>
      <w:r>
        <w:rPr>
          <w:rFonts w:hint="default" w:ascii="Times New Roman" w:hAnsi="Times New Roman" w:eastAsia="仿宋_GB2312" w:cs="Times New Roman"/>
          <w:color w:val="auto"/>
          <w:sz w:val="32"/>
          <w:szCs w:val="32"/>
        </w:rPr>
        <w:tab/>
      </w:r>
    </w:p>
    <w:p>
      <w:pPr>
        <w:numPr>
          <w:ilvl w:val="0"/>
          <w:numId w:val="0"/>
        </w:numPr>
        <w:topLinePunct/>
        <w:spacing w:line="54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临时表决权产生的第一次债权人会议决议的效力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b/>
      </w:r>
    </w:p>
    <w:p>
      <w:pPr>
        <w:numPr>
          <w:ilvl w:val="0"/>
          <w:numId w:val="0"/>
        </w:numPr>
        <w:topLinePunct/>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莫琳辉</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刘珂言</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破产程序中“清算转和解”的成功实践--以河南省海林房地产有限公司为例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郝建礼</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曹</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聪</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公司法经典案例汇编（一）、（二）</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公司法律专业委员会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公司法实务问答（第二期）、（第三期）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国有企业混合所有制改革法律业务操作指引</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张祖勤  韩云志</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国有企业产权转让法律业务操作指引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杨新涛  于小云</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《职务犯罪相关罪名法律规范汇编》</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姚  歌</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《追诉时效制度适用问题探究》</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张林旭</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刑民交叉案件中“同一事实”的认定</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靖</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《浅析担保制度在民事执行中的应用问题》</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谢中海</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《我国让与担保制度构建研究》</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岳东菊</w:t>
      </w:r>
      <w:r>
        <w:rPr>
          <w:rFonts w:hint="default" w:ascii="Times New Roman" w:hAnsi="Times New Roman" w:eastAsia="仿宋_GB2312" w:cs="Times New Roman"/>
          <w:color w:val="auto"/>
          <w:sz w:val="32"/>
          <w:szCs w:val="32"/>
        </w:rPr>
        <w:tab/>
      </w:r>
    </w:p>
    <w:p>
      <w:pPr>
        <w:topLinePunct/>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典型案例《跨境电商贸易模式因纠纷，多部门法律适用解争议》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魏</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蔚</w:t>
      </w:r>
      <w:r>
        <w:rPr>
          <w:rFonts w:hint="default" w:ascii="Times New Roman" w:hAnsi="Times New Roman" w:eastAsia="仿宋_GB2312" w:cs="Times New Roman"/>
          <w:color w:val="auto"/>
          <w:sz w:val="32"/>
          <w:szCs w:val="32"/>
        </w:rPr>
        <w:tab/>
      </w:r>
    </w:p>
    <w:p>
      <w:pPr>
        <w:topLinePunct/>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典型案例《新加坡交易所重大资产重组并上市项目》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朱</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丹</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《劳动法讯》</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徐会展</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公私法视角下行政协议无效认定的法律适用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杨会永  王丽沛</w:t>
      </w:r>
    </w:p>
    <w:p>
      <w:pPr>
        <w:topLinePunct/>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试论燃气特许经营权纠纷及解决机制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李新颖 朱莹莹</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《律师代理申请人身安全保护令操作指引》</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婚姻家事法律专业委员会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维乐有限责任公司与河南某公司等五公司著作权权属侵权纠纷案件代理词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贺保平  李嵩辉</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蜜雪冰城股份有限公司与蜜雪约（广州）科技有限公司、梁强伟侵害商标权纠纷案件代理词</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李恒欣</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2021年度评选优秀民事代理词集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民事诉讼与仲裁法律专业委员会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2021年度评选优秀论文集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刑事法律专业委员会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从一起申诉改判无罪案谈刑事辩护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贾海红</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落实慎捕慎诉制度  保护民企合法权益--犯罪嫌疑人吕**涉嫌非法处置查封扣押财产罪不起诉案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常  静</w:t>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北京某建设工程有限公司诉河南某建设开发公司建设工程施工合同纠纷案例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贾士海</w:t>
      </w:r>
      <w:r>
        <w:rPr>
          <w:rFonts w:hint="eastAsia" w:ascii="仿宋_GB2312" w:hAnsi="仿宋_GB2312" w:eastAsia="仿宋_GB2312" w:cs="仿宋_GB2312"/>
          <w:color w:val="auto"/>
          <w:sz w:val="32"/>
          <w:szCs w:val="32"/>
        </w:rPr>
        <w:tab/>
      </w:r>
      <w:r>
        <w:rPr>
          <w:rFonts w:hint="default" w:ascii="Times New Roman" w:hAnsi="Times New Roman" w:eastAsia="仿宋_GB2312" w:cs="Times New Roman"/>
          <w:color w:val="auto"/>
          <w:sz w:val="32"/>
          <w:szCs w:val="32"/>
        </w:rPr>
        <w:tab/>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《养老地产法律法规政策汇编》房地产法律专业委员会</w:t>
      </w:r>
    </w:p>
    <w:p>
      <w:pPr>
        <w:topLinePunct/>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河南省律协行业发展战略调研组赴皖苏杭调研报告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发展战略工作委员会</w:t>
      </w:r>
    </w:p>
    <w:p>
      <w:pPr>
        <w:topLinePunct/>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《防汛救灾法律问题指引》</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赵虎林、支合、何红艺等</w:t>
      </w:r>
    </w:p>
    <w:p>
      <w:pPr>
        <w:topLinePunct/>
        <w:spacing w:line="0" w:lineRule="atLeast"/>
        <w:rPr>
          <w:rFonts w:hint="default" w:ascii="Times New Roman" w:hAnsi="Times New Roman" w:eastAsia="仿宋_GB2312" w:cs="Times New Roman"/>
          <w:color w:val="auto"/>
          <w:sz w:val="24"/>
          <w:szCs w:val="24"/>
        </w:rPr>
      </w:pPr>
    </w:p>
    <w:p>
      <w:pPr>
        <w:rPr>
          <w:rFonts w:hint="default" w:ascii="Times New Roman" w:hAnsi="Times New Roman" w:eastAsia="仿宋_GB2312" w:cs="Times New Roman"/>
          <w:color w:val="auto"/>
          <w:sz w:val="32"/>
          <w:szCs w:val="32"/>
          <w:lang w:val="en-US" w:eastAsia="zh-CN"/>
        </w:rPr>
      </w:pPr>
      <w:bookmarkStart w:id="0" w:name="_GoBack"/>
      <w:bookmarkEnd w:id="0"/>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lang w:val="en-US" w:eastAsia="zh-CN"/>
        </w:rPr>
      </w:pPr>
    </w:p>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ZTM0OGFiZWE2ZWNiZmE4OGMxYmU3ZjQ0MTE3OTEifQ=="/>
  </w:docVars>
  <w:rsids>
    <w:rsidRoot w:val="00000000"/>
    <w:rsid w:val="01527160"/>
    <w:rsid w:val="02684E09"/>
    <w:rsid w:val="03922CFA"/>
    <w:rsid w:val="03EC2E67"/>
    <w:rsid w:val="0FEF5E5E"/>
    <w:rsid w:val="10270BBA"/>
    <w:rsid w:val="130A3CB4"/>
    <w:rsid w:val="149E7CED"/>
    <w:rsid w:val="159C0AC4"/>
    <w:rsid w:val="16E64BC1"/>
    <w:rsid w:val="16F85499"/>
    <w:rsid w:val="1B217D44"/>
    <w:rsid w:val="1C994812"/>
    <w:rsid w:val="1E926B1E"/>
    <w:rsid w:val="22327922"/>
    <w:rsid w:val="23823EBD"/>
    <w:rsid w:val="24B53A34"/>
    <w:rsid w:val="25572086"/>
    <w:rsid w:val="279A10C8"/>
    <w:rsid w:val="2AE75FE7"/>
    <w:rsid w:val="2C3E35F8"/>
    <w:rsid w:val="2CA15793"/>
    <w:rsid w:val="2FAA6857"/>
    <w:rsid w:val="33B72C75"/>
    <w:rsid w:val="35D85C2A"/>
    <w:rsid w:val="37915B9E"/>
    <w:rsid w:val="379E58DE"/>
    <w:rsid w:val="388D5908"/>
    <w:rsid w:val="38922E01"/>
    <w:rsid w:val="3AB8562C"/>
    <w:rsid w:val="3CDE4958"/>
    <w:rsid w:val="43D9695A"/>
    <w:rsid w:val="47557FD0"/>
    <w:rsid w:val="477C4598"/>
    <w:rsid w:val="49424E02"/>
    <w:rsid w:val="49606DC7"/>
    <w:rsid w:val="4A253B0D"/>
    <w:rsid w:val="4A342AB7"/>
    <w:rsid w:val="4AD46925"/>
    <w:rsid w:val="4B595ECC"/>
    <w:rsid w:val="4F0552BF"/>
    <w:rsid w:val="50B109FB"/>
    <w:rsid w:val="54822ABE"/>
    <w:rsid w:val="57025194"/>
    <w:rsid w:val="57076A65"/>
    <w:rsid w:val="648A7956"/>
    <w:rsid w:val="652E6BF9"/>
    <w:rsid w:val="66A4493D"/>
    <w:rsid w:val="676F6E63"/>
    <w:rsid w:val="6B9E769B"/>
    <w:rsid w:val="6BE916DC"/>
    <w:rsid w:val="6CA00464"/>
    <w:rsid w:val="6E436E6F"/>
    <w:rsid w:val="719912F3"/>
    <w:rsid w:val="7212099A"/>
    <w:rsid w:val="74653BB0"/>
    <w:rsid w:val="76016991"/>
    <w:rsid w:val="7A124551"/>
    <w:rsid w:val="7BB2293D"/>
    <w:rsid w:val="7D206E22"/>
    <w:rsid w:val="7D7829C9"/>
    <w:rsid w:val="7FD3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306</Words>
  <Characters>313</Characters>
  <Lines>0</Lines>
  <Paragraphs>0</Paragraphs>
  <TotalTime>7</TotalTime>
  <ScaleCrop>false</ScaleCrop>
  <LinksUpToDate>false</LinksUpToDate>
  <CharactersWithSpaces>313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lgj5713</cp:lastModifiedBy>
  <cp:lastPrinted>2022-04-27T07:34:00Z</cp:lastPrinted>
  <dcterms:modified xsi:type="dcterms:W3CDTF">2022-04-27T08:40:11Z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030280F68BF74354B481538B300C1A65</vt:lpwstr>
  </property>
</Properties>
</file>