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2</w:t>
      </w:r>
    </w:p>
    <w:p>
      <w:pPr>
        <w:spacing w:line="500" w:lineRule="exact"/>
        <w:rPr>
          <w:rFonts w:ascii="华文宋体" w:hAnsi="华文宋体" w:eastAsia="华文宋体"/>
          <w:sz w:val="32"/>
          <w:szCs w:val="32"/>
        </w:rPr>
      </w:pPr>
    </w:p>
    <w:p>
      <w:pPr>
        <w:spacing w:line="0" w:lineRule="atLeast"/>
        <w:jc w:val="center"/>
        <w:rPr>
          <w:rFonts w:ascii="方正小标宋简体" w:hAnsi="华文宋体" w:eastAsia="方正小标宋简体"/>
          <w:sz w:val="40"/>
          <w:szCs w:val="40"/>
        </w:rPr>
      </w:pPr>
      <w:r>
        <w:rPr>
          <w:rFonts w:hint="eastAsia" w:ascii="方正小标宋简体" w:hAnsi="华文宋体" w:eastAsia="方正小标宋简体"/>
          <w:sz w:val="40"/>
          <w:szCs w:val="40"/>
        </w:rPr>
        <w:t>河南省律师刑事辩护情况统计表</w:t>
      </w:r>
    </w:p>
    <w:p>
      <w:pPr>
        <w:spacing w:line="0" w:lineRule="atLeast"/>
        <w:rPr>
          <w:rFonts w:ascii="华文宋体" w:hAnsi="华文宋体" w:eastAsia="华文宋体"/>
          <w:sz w:val="15"/>
          <w:szCs w:val="15"/>
        </w:rPr>
      </w:pPr>
    </w:p>
    <w:p>
      <w:pPr>
        <w:ind w:firstLine="420" w:firstLineChars="150"/>
        <w:rPr>
          <w:rFonts w:ascii="仿宋_GB2312" w:hAnsi="华文宋体" w:eastAsia="仿宋_GB2312"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t>填表单位：                                                                年    月   日</w:t>
      </w:r>
    </w:p>
    <w:tbl>
      <w:tblPr>
        <w:tblStyle w:val="6"/>
        <w:tblW w:w="128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310"/>
        <w:gridCol w:w="1276"/>
        <w:gridCol w:w="741"/>
        <w:gridCol w:w="677"/>
        <w:gridCol w:w="762"/>
        <w:gridCol w:w="797"/>
        <w:gridCol w:w="751"/>
        <w:gridCol w:w="808"/>
        <w:gridCol w:w="803"/>
        <w:gridCol w:w="756"/>
        <w:gridCol w:w="751"/>
        <w:gridCol w:w="809"/>
        <w:gridCol w:w="70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07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律师事务所（个）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律师（人）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本地律所数</w:t>
            </w:r>
          </w:p>
        </w:tc>
        <w:tc>
          <w:tcPr>
            <w:tcW w:w="1310" w:type="dxa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办理过刑事业务</w:t>
            </w:r>
          </w:p>
        </w:tc>
        <w:tc>
          <w:tcPr>
            <w:tcW w:w="1276" w:type="dxa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有刑辩律师团队</w:t>
            </w:r>
          </w:p>
        </w:tc>
        <w:tc>
          <w:tcPr>
            <w:tcW w:w="1418" w:type="dxa"/>
            <w:gridSpan w:val="2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刑事业务占比50%以上</w:t>
            </w:r>
          </w:p>
        </w:tc>
        <w:tc>
          <w:tcPr>
            <w:tcW w:w="1559" w:type="dxa"/>
            <w:gridSpan w:val="2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刑事业务占比1-20%</w:t>
            </w:r>
          </w:p>
        </w:tc>
        <w:tc>
          <w:tcPr>
            <w:tcW w:w="1559" w:type="dxa"/>
            <w:gridSpan w:val="2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刑事业务占比20-40%</w:t>
            </w:r>
          </w:p>
        </w:tc>
        <w:tc>
          <w:tcPr>
            <w:tcW w:w="1559" w:type="dxa"/>
            <w:gridSpan w:val="2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刑事业务占比40-60%</w:t>
            </w:r>
          </w:p>
        </w:tc>
        <w:tc>
          <w:tcPr>
            <w:tcW w:w="1560" w:type="dxa"/>
            <w:gridSpan w:val="2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刑事业务占比60-70%</w:t>
            </w:r>
          </w:p>
        </w:tc>
        <w:tc>
          <w:tcPr>
            <w:tcW w:w="1559" w:type="dxa"/>
            <w:gridSpan w:val="2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刑事业务占比80%以上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741" w:type="dxa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业</w:t>
            </w:r>
          </w:p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务</w:t>
            </w:r>
          </w:p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量</w:t>
            </w:r>
          </w:p>
        </w:tc>
        <w:tc>
          <w:tcPr>
            <w:tcW w:w="677" w:type="dxa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收费额</w:t>
            </w:r>
          </w:p>
        </w:tc>
        <w:tc>
          <w:tcPr>
            <w:tcW w:w="762" w:type="dxa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业</w:t>
            </w:r>
          </w:p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务</w:t>
            </w:r>
          </w:p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量</w:t>
            </w:r>
          </w:p>
        </w:tc>
        <w:tc>
          <w:tcPr>
            <w:tcW w:w="797" w:type="dxa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收</w:t>
            </w:r>
          </w:p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费</w:t>
            </w:r>
          </w:p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额</w:t>
            </w:r>
          </w:p>
        </w:tc>
        <w:tc>
          <w:tcPr>
            <w:tcW w:w="751" w:type="dxa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业</w:t>
            </w:r>
          </w:p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务</w:t>
            </w:r>
          </w:p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量</w:t>
            </w:r>
          </w:p>
        </w:tc>
        <w:tc>
          <w:tcPr>
            <w:tcW w:w="808" w:type="dxa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收</w:t>
            </w:r>
          </w:p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费</w:t>
            </w:r>
          </w:p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额</w:t>
            </w:r>
          </w:p>
        </w:tc>
        <w:tc>
          <w:tcPr>
            <w:tcW w:w="803" w:type="dxa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业</w:t>
            </w:r>
          </w:p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务</w:t>
            </w:r>
          </w:p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量</w:t>
            </w:r>
          </w:p>
        </w:tc>
        <w:tc>
          <w:tcPr>
            <w:tcW w:w="756" w:type="dxa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收</w:t>
            </w:r>
          </w:p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费</w:t>
            </w:r>
          </w:p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额</w:t>
            </w:r>
          </w:p>
        </w:tc>
        <w:tc>
          <w:tcPr>
            <w:tcW w:w="751" w:type="dxa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业</w:t>
            </w:r>
          </w:p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务</w:t>
            </w:r>
          </w:p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量</w:t>
            </w:r>
          </w:p>
        </w:tc>
        <w:tc>
          <w:tcPr>
            <w:tcW w:w="809" w:type="dxa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收</w:t>
            </w:r>
          </w:p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费</w:t>
            </w:r>
          </w:p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额</w:t>
            </w:r>
          </w:p>
        </w:tc>
        <w:tc>
          <w:tcPr>
            <w:tcW w:w="708" w:type="dxa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业</w:t>
            </w:r>
          </w:p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务</w:t>
            </w:r>
          </w:p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量</w:t>
            </w:r>
          </w:p>
        </w:tc>
        <w:tc>
          <w:tcPr>
            <w:tcW w:w="851" w:type="dxa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收</w:t>
            </w:r>
          </w:p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费</w:t>
            </w:r>
          </w:p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066" w:type="dxa"/>
            <w:vMerge w:val="continue"/>
          </w:tcPr>
          <w:p>
            <w:pPr>
              <w:spacing w:line="0" w:lineRule="atLeast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1310" w:type="dxa"/>
            <w:vMerge w:val="continue"/>
          </w:tcPr>
          <w:p>
            <w:pPr>
              <w:spacing w:line="0" w:lineRule="atLeast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line="0" w:lineRule="atLeast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宋体" w:eastAsia="仿宋_GB2312"/>
                <w:sz w:val="24"/>
                <w:szCs w:val="24"/>
              </w:rPr>
            </w:pPr>
          </w:p>
        </w:tc>
      </w:tr>
    </w:tbl>
    <w:p>
      <w:pPr>
        <w:spacing w:line="380" w:lineRule="exact"/>
        <w:ind w:left="1439" w:leftChars="114" w:hanging="1200" w:hangingChars="500"/>
        <w:jc w:val="left"/>
        <w:rPr>
          <w:rFonts w:ascii="仿宋_GB2312" w:hAnsi="华文宋体" w:eastAsia="仿宋_GB2312"/>
          <w:sz w:val="24"/>
          <w:szCs w:val="24"/>
        </w:rPr>
      </w:pPr>
      <w:r>
        <w:rPr>
          <w:rFonts w:hint="eastAsia" w:ascii="仿宋_GB2312" w:hAnsi="华文宋体" w:eastAsia="仿宋_GB2312"/>
          <w:sz w:val="24"/>
          <w:szCs w:val="24"/>
        </w:rPr>
        <w:t>填表说明：“刑事业务占比”指以今年以来所办理的刑事业务案件数量或收费总额在本所（人）所有业务中所占份额，“业务量、收费额”两项均填。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E1195"/>
    <w:rsid w:val="00300C05"/>
    <w:rsid w:val="00334B3D"/>
    <w:rsid w:val="004B0632"/>
    <w:rsid w:val="004D4148"/>
    <w:rsid w:val="00523C66"/>
    <w:rsid w:val="006967AD"/>
    <w:rsid w:val="0079135E"/>
    <w:rsid w:val="00AE5BC8"/>
    <w:rsid w:val="00D32CD0"/>
    <w:rsid w:val="00EE1A95"/>
    <w:rsid w:val="02545390"/>
    <w:rsid w:val="0E461528"/>
    <w:rsid w:val="1C505D30"/>
    <w:rsid w:val="2B1B0352"/>
    <w:rsid w:val="43567CA9"/>
    <w:rsid w:val="4C5403F6"/>
    <w:rsid w:val="4E4E1195"/>
    <w:rsid w:val="556963FC"/>
    <w:rsid w:val="5ADC32CE"/>
    <w:rsid w:val="7898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396</Words>
  <Characters>2262</Characters>
  <Lines>18</Lines>
  <Paragraphs>5</Paragraphs>
  <ScaleCrop>false</ScaleCrop>
  <LinksUpToDate>false</LinksUpToDate>
  <CharactersWithSpaces>2653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2018-02-23T07:00:00Z</dcterms:created>
  <dc:creator>独木不成光芒</dc:creator>
  <cp:lastModifiedBy>我是好人_33108</cp:lastModifiedBy>
  <dcterms:modified xsi:type="dcterms:W3CDTF">2018-02-23T08:57:31Z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